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401F8" w14:textId="01679726" w:rsidR="00CE2718" w:rsidRPr="008D0737" w:rsidRDefault="7AC0CC61" w:rsidP="18971EA1">
      <w:pPr>
        <w:pStyle w:val="Heading1"/>
        <w:rPr>
          <w:b/>
          <w:bCs/>
        </w:rPr>
      </w:pPr>
      <w:r w:rsidRPr="008D0737">
        <w:rPr>
          <w:b/>
          <w:bCs/>
        </w:rPr>
        <w:t>LNDL External Event Policy</w:t>
      </w:r>
    </w:p>
    <w:p w14:paraId="5B3107EE" w14:textId="3EB0648D" w:rsidR="00CE2718" w:rsidRDefault="07830507" w:rsidP="18971EA1">
      <w:pPr>
        <w:pStyle w:val="Heading2"/>
      </w:pPr>
      <w:r>
        <w:t>Introduction</w:t>
      </w:r>
    </w:p>
    <w:p w14:paraId="3DD02592" w14:textId="4D66DA87" w:rsidR="00CE2718" w:rsidRDefault="4A6B2664" w:rsidP="18971EA1">
      <w:pPr>
        <w:pStyle w:val="Heading3"/>
      </w:pPr>
      <w:r>
        <w:t>Mission &amp; Priorities</w:t>
      </w:r>
    </w:p>
    <w:p w14:paraId="32792B6B" w14:textId="0C9C18D7" w:rsidR="00CE2718" w:rsidRDefault="4A6B2664" w:rsidP="18971EA1">
      <w:r>
        <w:t>The Loyola Notre Dame Library</w:t>
      </w:r>
      <w:r w:rsidR="430066F4">
        <w:t>’s</w:t>
      </w:r>
      <w:r>
        <w:t xml:space="preserve"> </w:t>
      </w:r>
      <w:r w:rsidRPr="000A3B02">
        <w:rPr>
          <w:b/>
          <w:bCs/>
        </w:rPr>
        <w:t xml:space="preserve">primary mission is to advance the academic and spiritual missions </w:t>
      </w:r>
      <w:r w:rsidR="0D296C6B" w:rsidRPr="000A3B02">
        <w:rPr>
          <w:b/>
          <w:bCs/>
        </w:rPr>
        <w:t>of Loyola University Maryland and Notre Dame of Maryland University</w:t>
      </w:r>
      <w:r w:rsidR="0D296C6B">
        <w:t xml:space="preserve">. </w:t>
      </w:r>
      <w:r w:rsidR="449AE2BA">
        <w:t xml:space="preserve">In </w:t>
      </w:r>
      <w:r w:rsidR="0D296C6B">
        <w:t xml:space="preserve">alignment with this mission, LNDL </w:t>
      </w:r>
      <w:r w:rsidR="6DADD992">
        <w:t xml:space="preserve">prioritizes the needs of </w:t>
      </w:r>
      <w:r w:rsidR="39EE5518">
        <w:t>these</w:t>
      </w:r>
      <w:r w:rsidR="6DADD992">
        <w:t xml:space="preserve"> institutions</w:t>
      </w:r>
      <w:r w:rsidR="0DE8F15B">
        <w:t xml:space="preserve"> when evaluating requests from external community organizations.</w:t>
      </w:r>
      <w:r w:rsidR="5AA9D0FB">
        <w:t xml:space="preserve"> </w:t>
      </w:r>
    </w:p>
    <w:p w14:paraId="7688691D" w14:textId="3CFCF8EE" w:rsidR="09996589" w:rsidRDefault="09996589" w:rsidP="6E9196FD">
      <w:pPr>
        <w:pStyle w:val="Heading3"/>
      </w:pPr>
      <w:r>
        <w:t>Events at LNDL</w:t>
      </w:r>
    </w:p>
    <w:p w14:paraId="688E4280" w14:textId="4E2B1F3E" w:rsidR="32DE8A26" w:rsidRDefault="32DE8A26" w:rsidP="6801D2A3">
      <w:r>
        <w:t>LNDL has adequate space to support a wide variety of e</w:t>
      </w:r>
      <w:r w:rsidR="449A35AB">
        <w:t xml:space="preserve">vents: </w:t>
      </w:r>
    </w:p>
    <w:p w14:paraId="0913C6BF" w14:textId="05DA8E3D" w:rsidR="00CE2718" w:rsidRDefault="3806FB70" w:rsidP="001C2BFB">
      <w:pPr>
        <w:pStyle w:val="ListParagraph"/>
        <w:numPr>
          <w:ilvl w:val="0"/>
          <w:numId w:val="8"/>
        </w:numPr>
      </w:pPr>
      <w:r>
        <w:t>Meetings</w:t>
      </w:r>
    </w:p>
    <w:p w14:paraId="31822863" w14:textId="77777777" w:rsidR="006A5E2E" w:rsidRDefault="006A5E2E" w:rsidP="006A5E2E">
      <w:pPr>
        <w:pStyle w:val="ListParagraph"/>
        <w:numPr>
          <w:ilvl w:val="0"/>
          <w:numId w:val="4"/>
        </w:numPr>
      </w:pPr>
      <w:r>
        <w:t>Summer Camps</w:t>
      </w:r>
    </w:p>
    <w:p w14:paraId="0FB20AEE" w14:textId="5F937AAE" w:rsidR="006A5E2E" w:rsidRDefault="001C2BFB" w:rsidP="006A5E2E">
      <w:pPr>
        <w:pStyle w:val="ListParagraph"/>
        <w:numPr>
          <w:ilvl w:val="0"/>
          <w:numId w:val="4"/>
        </w:numPr>
      </w:pPr>
      <w:r>
        <w:t xml:space="preserve">Community </w:t>
      </w:r>
      <w:r w:rsidR="006A5E2E">
        <w:t xml:space="preserve">Classes </w:t>
      </w:r>
    </w:p>
    <w:p w14:paraId="00AD8489" w14:textId="735B8915" w:rsidR="3806FB70" w:rsidRDefault="3806FB70" w:rsidP="6E9196FD">
      <w:pPr>
        <w:pStyle w:val="ListParagraph"/>
        <w:numPr>
          <w:ilvl w:val="0"/>
          <w:numId w:val="4"/>
        </w:numPr>
      </w:pPr>
      <w:r>
        <w:t>Film Screening</w:t>
      </w:r>
      <w:r w:rsidR="006F041E">
        <w:t>s</w:t>
      </w:r>
    </w:p>
    <w:p w14:paraId="101F74E1" w14:textId="6B70012F" w:rsidR="002822E6" w:rsidRDefault="002822E6" w:rsidP="6E9196FD">
      <w:pPr>
        <w:pStyle w:val="ListParagraph"/>
        <w:numPr>
          <w:ilvl w:val="0"/>
          <w:numId w:val="4"/>
        </w:numPr>
      </w:pPr>
      <w:r>
        <w:t>Workshops</w:t>
      </w:r>
    </w:p>
    <w:p w14:paraId="39DE2BA1" w14:textId="630950C7" w:rsidR="0D8504D7" w:rsidRDefault="0D8504D7" w:rsidP="6801D2A3">
      <w:r>
        <w:t xml:space="preserve">LNDL </w:t>
      </w:r>
      <w:r w:rsidRPr="6801D2A3">
        <w:rPr>
          <w:b/>
          <w:bCs/>
        </w:rPr>
        <w:t>does not</w:t>
      </w:r>
      <w:r>
        <w:t xml:space="preserve"> host formal receptions, personal parties, church </w:t>
      </w:r>
      <w:r w:rsidR="2098F364">
        <w:t xml:space="preserve">services, or media screenings without adequate public performance rights. </w:t>
      </w:r>
      <w:r w:rsidR="4A395FF2">
        <w:t xml:space="preserve"> LNDL also does not host community events or allow community entry during Final Exam Periods. </w:t>
      </w:r>
    </w:p>
    <w:p w14:paraId="4655E501" w14:textId="77623C39" w:rsidR="3AC0F65D" w:rsidRDefault="483018A1" w:rsidP="6E9196FD">
      <w:pPr>
        <w:pStyle w:val="Heading2"/>
      </w:pPr>
      <w:r>
        <w:t>Timeline for Communication</w:t>
      </w:r>
    </w:p>
    <w:p w14:paraId="40377B13" w14:textId="44D701F3" w:rsidR="0F04AF52" w:rsidRDefault="0F04AF52" w:rsidP="6801D2A3">
      <w:r>
        <w:t xml:space="preserve">Community Event Organizers can initiate the event request process by emailing </w:t>
      </w:r>
      <w:hyperlink r:id="rId10">
        <w:r w:rsidRPr="6801D2A3">
          <w:rPr>
            <w:rStyle w:val="Hyperlink"/>
          </w:rPr>
          <w:t>library-events@loyola.edu.</w:t>
        </w:r>
      </w:hyperlink>
      <w:r>
        <w:t xml:space="preserve"> </w:t>
      </w:r>
      <w:r w:rsidR="56F0B423">
        <w:t>Event Organizers can expect the submission and approval process for events to take 1-2 weeks. Timelines can be expedited by request.</w:t>
      </w:r>
      <w:r w:rsidR="3F044D8D">
        <w:t xml:space="preserve"> Utilizing Loyola Event Services or Notre Dame Conference for equipment and furniture rentals may prolong the approval process.</w:t>
      </w:r>
      <w:r w:rsidR="3EE36B3A">
        <w:t xml:space="preserve"> </w:t>
      </w:r>
    </w:p>
    <w:p w14:paraId="1E3AE5E4" w14:textId="2014D6EA" w:rsidR="00081D02" w:rsidRDefault="00081D02" w:rsidP="6801D2A3">
      <w:r w:rsidRPr="00081D02">
        <w:rPr>
          <w:noProof/>
        </w:rPr>
        <w:lastRenderedPageBreak/>
        <w:drawing>
          <wp:inline distT="0" distB="0" distL="0" distR="0" wp14:anchorId="5A859B5C" wp14:editId="77C739DD">
            <wp:extent cx="6438900" cy="2886075"/>
            <wp:effectExtent l="0" t="0" r="0" b="9525"/>
            <wp:docPr id="1806669049" name="Diagram 1" descr="Flow chart of steps after a event request is submitted.">
              <a:extLst xmlns:a="http://schemas.openxmlformats.org/drawingml/2006/main">
                <a:ext uri="{FF2B5EF4-FFF2-40B4-BE49-F238E27FC236}">
                  <a16:creationId xmlns:a16="http://schemas.microsoft.com/office/drawing/2014/main" id="{02435980-48ED-4FBB-B6B1-8A5C40326F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72FC872B" w14:textId="377A62EB" w:rsidR="00B32AA5" w:rsidRDefault="00B32AA5" w:rsidP="00B32AA5">
      <w:pPr>
        <w:pStyle w:val="Heading2"/>
      </w:pPr>
      <w:r>
        <w:t>Community Organizations</w:t>
      </w:r>
    </w:p>
    <w:p w14:paraId="5CDA7D7E" w14:textId="77777777" w:rsidR="00B32AA5" w:rsidRDefault="00B32AA5" w:rsidP="00B32AA5">
      <w:pPr>
        <w:pStyle w:val="Heading3"/>
      </w:pPr>
      <w:r w:rsidRPr="6E9196FD">
        <w:t>Rubric</w:t>
      </w:r>
    </w:p>
    <w:p w14:paraId="001A9E27" w14:textId="334518C0" w:rsidR="00ED1D15" w:rsidRDefault="0E1A7C2A" w:rsidP="00B32AA5">
      <w:r>
        <w:t>LNDL reserves the right t</w:t>
      </w:r>
      <w:r w:rsidR="552DCE1A">
        <w:t>o</w:t>
      </w:r>
      <w:r>
        <w:t xml:space="preserve"> deny an event request for any reason. Community events are </w:t>
      </w:r>
      <w:r w:rsidR="693AEA11">
        <w:t>assessed</w:t>
      </w:r>
      <w:r w:rsidR="00F1321C">
        <w:t xml:space="preserve"> </w:t>
      </w:r>
      <w:r w:rsidR="2B89AF29">
        <w:t xml:space="preserve">using </w:t>
      </w:r>
      <w:r w:rsidR="00F1321C">
        <w:t>three main criteria</w:t>
      </w:r>
      <w:r w:rsidR="17A36C33">
        <w:t>.</w:t>
      </w:r>
    </w:p>
    <w:p w14:paraId="0D2AEB09" w14:textId="77777777" w:rsidR="00F1321C" w:rsidRPr="00F1321C" w:rsidRDefault="00F1321C" w:rsidP="6801D2A3">
      <w:pPr>
        <w:pStyle w:val="Heading4"/>
      </w:pPr>
      <w:r w:rsidRPr="00F1321C">
        <w:t xml:space="preserve">Alignment with LNDL Mission, Vision, and Values </w:t>
      </w:r>
    </w:p>
    <w:p w14:paraId="46F0799A" w14:textId="38C4FD50" w:rsidR="37CA0C66" w:rsidRDefault="37CA0C66" w:rsidP="6801D2A3">
      <w:r>
        <w:t xml:space="preserve">Events held at the Loyola Notre Dame Library should not be in opposition to the </w:t>
      </w:r>
      <w:r w:rsidR="2F6230A8">
        <w:t>m</w:t>
      </w:r>
      <w:r>
        <w:t xml:space="preserve">ission, </w:t>
      </w:r>
      <w:r w:rsidR="36C94537">
        <w:t>v</w:t>
      </w:r>
      <w:r>
        <w:t xml:space="preserve">ision, and </w:t>
      </w:r>
      <w:r w:rsidR="6706BB39">
        <w:t>v</w:t>
      </w:r>
      <w:r>
        <w:t xml:space="preserve">alues of the institution. </w:t>
      </w:r>
    </w:p>
    <w:p w14:paraId="3C3F7C72" w14:textId="7E132C68" w:rsidR="00894C9B" w:rsidRDefault="00894C9B" w:rsidP="6801D2A3">
      <w:r w:rsidRPr="6801D2A3">
        <w:rPr>
          <w:rStyle w:val="Heading4Char"/>
        </w:rPr>
        <w:t>Alignment with Campus Missions</w:t>
      </w:r>
      <w:r>
        <w:br/>
      </w:r>
      <w:r w:rsidR="504B2CEF">
        <w:t>Referrals or sponsorship from a</w:t>
      </w:r>
      <w:r w:rsidR="568B751E">
        <w:t xml:space="preserve"> </w:t>
      </w:r>
      <w:r w:rsidR="504B2CEF">
        <w:t xml:space="preserve">university office or department </w:t>
      </w:r>
      <w:r w:rsidR="40F2B5E0">
        <w:t>will</w:t>
      </w:r>
      <w:r w:rsidR="504B2CEF">
        <w:t xml:space="preserve"> be taken into consideration</w:t>
      </w:r>
      <w:r w:rsidR="076507A1">
        <w:t xml:space="preserve"> when reviewing event requests</w:t>
      </w:r>
      <w:r w:rsidR="504B2CEF">
        <w:t xml:space="preserve">. </w:t>
      </w:r>
      <w:r w:rsidR="40DF33C1">
        <w:t xml:space="preserve">As part of LNDL’s mission, events should not be in opposition to university missions. </w:t>
      </w:r>
    </w:p>
    <w:p w14:paraId="0166580C" w14:textId="61FD8DAA" w:rsidR="00F1321C" w:rsidRPr="00B32AA5" w:rsidRDefault="005439EE" w:rsidP="6801D2A3">
      <w:pPr>
        <w:pStyle w:val="Heading4"/>
      </w:pPr>
      <w:r w:rsidRPr="005439EE">
        <w:t>Impact on Library Operations</w:t>
      </w:r>
    </w:p>
    <w:p w14:paraId="5AF4B1CA" w14:textId="4A18DF24" w:rsidR="75C65476" w:rsidRDefault="75C65476" w:rsidP="6801D2A3">
      <w:r>
        <w:t xml:space="preserve">External events should not interfere with regular library operations, including operational hours, instruction/class schedules, and </w:t>
      </w:r>
      <w:r w:rsidR="1142EB4B">
        <w:t xml:space="preserve">noise </w:t>
      </w:r>
      <w:r>
        <w:t xml:space="preserve">volume expectations. </w:t>
      </w:r>
      <w:r w:rsidR="79C30919">
        <w:t>Event Organizers may be asked to pay a fee for events that interfere with operations.</w:t>
      </w:r>
    </w:p>
    <w:p w14:paraId="450D2D4E" w14:textId="77777777" w:rsidR="00B32AA5" w:rsidRDefault="00B32AA5" w:rsidP="00B32AA5">
      <w:pPr>
        <w:pStyle w:val="Heading3"/>
      </w:pPr>
      <w:r w:rsidRPr="6E9196FD">
        <w:t>Agreement</w:t>
      </w:r>
    </w:p>
    <w:p w14:paraId="216977CF" w14:textId="6DCD9B2E" w:rsidR="00B32AA5" w:rsidRPr="00B32AA5" w:rsidRDefault="086495D2" w:rsidP="00B32AA5">
      <w:r>
        <w:t xml:space="preserve">Event Organizers </w:t>
      </w:r>
      <w:r w:rsidR="7B274F1A">
        <w:t xml:space="preserve">must </w:t>
      </w:r>
      <w:r>
        <w:t>agree to abide by Loyola Notre Dame Library</w:t>
      </w:r>
      <w:r w:rsidR="621B5B1A">
        <w:t xml:space="preserve">’s </w:t>
      </w:r>
      <w:r w:rsidR="10BEB1DE">
        <w:t xml:space="preserve">policies when completing the Community </w:t>
      </w:r>
      <w:r w:rsidR="023EE044">
        <w:t xml:space="preserve">Event Form. This includes </w:t>
      </w:r>
      <w:r w:rsidR="5A1BAE6E">
        <w:t xml:space="preserve">LNDL’s </w:t>
      </w:r>
      <w:r w:rsidR="621B5B1A">
        <w:t>Library Use Policy, Library Patron Agreement and Food and Beverage Polic</w:t>
      </w:r>
      <w:r w:rsidR="6983554A">
        <w:t>y</w:t>
      </w:r>
      <w:r w:rsidR="621B5B1A">
        <w:t xml:space="preserve">. </w:t>
      </w:r>
    </w:p>
    <w:p w14:paraId="258FDDB5" w14:textId="1FCE15CB" w:rsidR="00B32AA5" w:rsidRDefault="00B32AA5" w:rsidP="00B32AA5">
      <w:pPr>
        <w:pStyle w:val="Heading3"/>
      </w:pPr>
      <w:r>
        <w:lastRenderedPageBreak/>
        <w:t>Event with Minor</w:t>
      </w:r>
      <w:r w:rsidR="082E0109">
        <w:t>s</w:t>
      </w:r>
      <w:r>
        <w:t xml:space="preserve"> Policy- Liability Insurance</w:t>
      </w:r>
    </w:p>
    <w:p w14:paraId="48BE8539" w14:textId="236FB18C" w:rsidR="00B32AA5" w:rsidRPr="00B32AA5" w:rsidRDefault="00B7D88F" w:rsidP="00B32AA5">
      <w:r>
        <w:t xml:space="preserve">Events that </w:t>
      </w:r>
      <w:r w:rsidR="04B568B6">
        <w:t xml:space="preserve">include minors require additional steps for approval to ensure </w:t>
      </w:r>
      <w:r w:rsidR="1770681E">
        <w:t>compliance with LNDL’s policy On The Safety Of Children In University Programs And Reporting. This includes, but may not be limited to:</w:t>
      </w:r>
    </w:p>
    <w:p w14:paraId="2CA89786" w14:textId="6E5EDE9A" w:rsidR="1770681E" w:rsidRDefault="1770681E" w:rsidP="6801D2A3">
      <w:pPr>
        <w:pStyle w:val="ListParagraph"/>
        <w:numPr>
          <w:ilvl w:val="0"/>
          <w:numId w:val="6"/>
        </w:numPr>
      </w:pPr>
      <w:r w:rsidRPr="6801D2A3">
        <w:t>Confirmation of screening for staff/volunteers</w:t>
      </w:r>
    </w:p>
    <w:p w14:paraId="17C16526" w14:textId="46D513CA" w:rsidR="1770681E" w:rsidRDefault="1770681E" w:rsidP="6801D2A3">
      <w:pPr>
        <w:pStyle w:val="ListParagraph"/>
        <w:numPr>
          <w:ilvl w:val="0"/>
          <w:numId w:val="6"/>
        </w:numPr>
      </w:pPr>
      <w:r w:rsidRPr="6801D2A3">
        <w:t>Confirmation of training for staff/volunteers</w:t>
      </w:r>
    </w:p>
    <w:p w14:paraId="32839A4C" w14:textId="56FB33F6" w:rsidR="1770681E" w:rsidRDefault="1770681E" w:rsidP="6801D2A3">
      <w:pPr>
        <w:pStyle w:val="ListParagraph"/>
        <w:numPr>
          <w:ilvl w:val="0"/>
          <w:numId w:val="6"/>
        </w:numPr>
      </w:pPr>
      <w:r w:rsidRPr="6801D2A3">
        <w:t xml:space="preserve">Written agreement to LNDL policies </w:t>
      </w:r>
    </w:p>
    <w:p w14:paraId="18E97CC4" w14:textId="563EB7B4" w:rsidR="1770681E" w:rsidRDefault="1770681E" w:rsidP="6801D2A3">
      <w:pPr>
        <w:pStyle w:val="ListParagraph"/>
        <w:numPr>
          <w:ilvl w:val="0"/>
          <w:numId w:val="6"/>
        </w:numPr>
      </w:pPr>
      <w:r w:rsidRPr="6801D2A3">
        <w:t xml:space="preserve">Certificate of insurance/liability coverage </w:t>
      </w:r>
    </w:p>
    <w:p w14:paraId="47044780" w14:textId="77777777" w:rsidR="003301B2" w:rsidRPr="00F22A16" w:rsidRDefault="003301B2" w:rsidP="003301B2">
      <w:pPr>
        <w:pStyle w:val="Heading2"/>
      </w:pPr>
      <w:r w:rsidRPr="00F22A16">
        <w:t>Food &amp; Catering</w:t>
      </w:r>
    </w:p>
    <w:p w14:paraId="0A37D4B1" w14:textId="5DEB3937" w:rsidR="003301B2" w:rsidRDefault="003301B2" w:rsidP="003301B2">
      <w:r>
        <w:t>LNDL routinely hosts events that involve food, which introduce unique challenges. Event Organizers can work with their respective campus catering (Loyola Parkhurst Evergreen or Notre Dame SAGE Dining)</w:t>
      </w:r>
      <w:r w:rsidR="2018948E">
        <w:t xml:space="preserve"> or use a third-party caterer.</w:t>
      </w:r>
      <w:r>
        <w:t xml:space="preserve"> </w:t>
      </w:r>
    </w:p>
    <w:p w14:paraId="1AE73FF4" w14:textId="77777777" w:rsidR="003301B2" w:rsidRDefault="003301B2" w:rsidP="003301B2">
      <w:pPr>
        <w:pStyle w:val="Heading3"/>
      </w:pPr>
      <w:r>
        <w:t>Sanitation &amp; Waste Management Notice</w:t>
      </w:r>
    </w:p>
    <w:p w14:paraId="348D2937" w14:textId="078986A8" w:rsidR="003301B2" w:rsidRDefault="003301B2" w:rsidP="003301B2">
      <w:r w:rsidRPr="1951819D">
        <w:rPr>
          <w:b/>
          <w:bCs/>
        </w:rPr>
        <w:t xml:space="preserve">If event organizers choose to coordinate their own third-party catering, then they must take responsibility for proper disposal of food waste or communication of sanitation issues. </w:t>
      </w:r>
      <w:r w:rsidR="3E899A9C">
        <w:t xml:space="preserve">LNDL staff will advise on the proper process for disposal of food waste. </w:t>
      </w:r>
    </w:p>
    <w:p w14:paraId="2672F7F3" w14:textId="77777777" w:rsidR="003301B2" w:rsidRDefault="003301B2" w:rsidP="003301B2">
      <w:pPr>
        <w:pStyle w:val="Heading3"/>
      </w:pPr>
      <w:r>
        <w:t>Variety of Space Functions</w:t>
      </w:r>
    </w:p>
    <w:p w14:paraId="239EFE5F" w14:textId="42533434" w:rsidR="003301B2" w:rsidRDefault="003301B2" w:rsidP="003301B2">
      <w:r>
        <w:t xml:space="preserve">The types of catered events in the library depend on the specific spaces. </w:t>
      </w:r>
      <w:r w:rsidR="0F04C991" w:rsidRPr="00064EA6">
        <w:rPr>
          <w:b/>
          <w:bCs/>
        </w:rPr>
        <w:t xml:space="preserve">The </w:t>
      </w:r>
      <w:r w:rsidRPr="00064EA6">
        <w:rPr>
          <w:b/>
          <w:bCs/>
        </w:rPr>
        <w:t xml:space="preserve">Learning Lobby and Gallery </w:t>
      </w:r>
      <w:r w:rsidR="0F04C991" w:rsidRPr="00064EA6">
        <w:rPr>
          <w:b/>
          <w:bCs/>
        </w:rPr>
        <w:t>are preferred for l</w:t>
      </w:r>
      <w:r w:rsidRPr="00064EA6">
        <w:rPr>
          <w:b/>
          <w:bCs/>
        </w:rPr>
        <w:t>arge meals</w:t>
      </w:r>
      <w:r w:rsidR="664C87B7" w:rsidRPr="00064EA6">
        <w:rPr>
          <w:b/>
          <w:bCs/>
        </w:rPr>
        <w:t xml:space="preserve">, </w:t>
      </w:r>
      <w:r w:rsidRPr="00064EA6">
        <w:rPr>
          <w:b/>
          <w:bCs/>
        </w:rPr>
        <w:t xml:space="preserve">such as catered </w:t>
      </w:r>
      <w:r w:rsidR="6568DE1A" w:rsidRPr="00064EA6">
        <w:rPr>
          <w:b/>
          <w:bCs/>
        </w:rPr>
        <w:t>lunches</w:t>
      </w:r>
      <w:r w:rsidRPr="00064EA6">
        <w:rPr>
          <w:b/>
          <w:bCs/>
        </w:rPr>
        <w:t>.</w:t>
      </w:r>
      <w:r>
        <w:t xml:space="preserve"> </w:t>
      </w:r>
      <w:commentRangeStart w:id="0"/>
      <w:commentRangeStart w:id="1"/>
      <w:r>
        <w:t>I</w:t>
      </w:r>
      <w:commentRangeEnd w:id="0"/>
      <w:r w:rsidR="001350E2" w:rsidRPr="00ED7595">
        <w:rPr>
          <w:rStyle w:val="CommentReference"/>
          <w:sz w:val="24"/>
          <w:szCs w:val="24"/>
        </w:rPr>
        <w:commentReference w:id="0"/>
      </w:r>
      <w:commentRangeEnd w:id="1"/>
      <w:r w:rsidRPr="00ED7595">
        <w:rPr>
          <w:rStyle w:val="CommentReference"/>
          <w:sz w:val="24"/>
          <w:szCs w:val="24"/>
        </w:rPr>
        <w:commentReference w:id="1"/>
      </w:r>
      <w:r w:rsidR="00ED7595" w:rsidRPr="00ED7595">
        <w:t>n other areas of the building that may be reserved</w:t>
      </w:r>
      <w:r>
        <w:t xml:space="preserve">, snacks and university catered receptions </w:t>
      </w:r>
      <w:r w:rsidR="7B230495">
        <w:t>are permitted</w:t>
      </w:r>
      <w:r w:rsidR="18DAF998">
        <w:t>.</w:t>
      </w:r>
      <w:r>
        <w:t xml:space="preserve"> Exceptions are possible but </w:t>
      </w:r>
      <w:r w:rsidR="52E42F58">
        <w:t>maintaining a clean and sanitary building</w:t>
      </w:r>
      <w:r>
        <w:t xml:space="preserve"> </w:t>
      </w:r>
      <w:r w:rsidR="265ABC84">
        <w:t xml:space="preserve">remains the priority. </w:t>
      </w:r>
    </w:p>
    <w:p w14:paraId="259134DE" w14:textId="77777777" w:rsidR="003301B2" w:rsidRDefault="003301B2" w:rsidP="003301B2">
      <w:pPr>
        <w:pStyle w:val="Heading3"/>
        <w:rPr>
          <w:sz w:val="24"/>
          <w:szCs w:val="24"/>
        </w:rPr>
      </w:pPr>
      <w:r>
        <w:t>Alcohol Policy</w:t>
      </w:r>
    </w:p>
    <w:p w14:paraId="4EA5DE85" w14:textId="700725AD" w:rsidR="003301B2" w:rsidRDefault="003301B2" w:rsidP="003301B2">
      <w:r>
        <w:t>All events that involve alcohol r</w:t>
      </w:r>
      <w:r w:rsidRPr="1951819D">
        <w:t>equire campus catering</w:t>
      </w:r>
      <w:r>
        <w:t xml:space="preserve"> services</w:t>
      </w:r>
      <w:r w:rsidR="7BB4D5F2">
        <w:t xml:space="preserve"> to ensure adherence with </w:t>
      </w:r>
      <w:r w:rsidR="441C1716">
        <w:t>state and local laws and regulations</w:t>
      </w:r>
      <w:r>
        <w:t xml:space="preserve">. </w:t>
      </w:r>
      <w:r w:rsidR="29A0159D">
        <w:t>LNDL does</w:t>
      </w:r>
      <w:r>
        <w:t xml:space="preserve"> not allow event organizers to host events with alcohol without contracting with campus catering. </w:t>
      </w:r>
    </w:p>
    <w:p w14:paraId="570AA739" w14:textId="77777777" w:rsidR="00B32AA5" w:rsidRDefault="00B32AA5" w:rsidP="00B32AA5">
      <w:pPr>
        <w:pStyle w:val="Heading2"/>
      </w:pPr>
      <w:r>
        <w:t>Library Event Support</w:t>
      </w:r>
    </w:p>
    <w:p w14:paraId="4EBE29EC" w14:textId="77777777" w:rsidR="00B32AA5" w:rsidRPr="00033E26" w:rsidRDefault="00B32AA5" w:rsidP="00B32AA5">
      <w:pPr>
        <w:pStyle w:val="Heading3"/>
      </w:pPr>
      <w:r>
        <w:t>Coordination Expectations</w:t>
      </w:r>
    </w:p>
    <w:p w14:paraId="705B1202" w14:textId="6AF9BCA1" w:rsidR="00B32AA5" w:rsidRPr="00CB09A1" w:rsidRDefault="52FA0B61" w:rsidP="00B32AA5">
      <w:r>
        <w:t>Event Organizers are expected to review event coordination summary documents to verify information and communicate any changes to event plans with library staff. For major events (+</w:t>
      </w:r>
      <w:r w:rsidR="001E175D">
        <w:t>30</w:t>
      </w:r>
      <w:r>
        <w:t xml:space="preserve"> attendees) that </w:t>
      </w:r>
      <w:r w:rsidRPr="0539489B">
        <w:rPr>
          <w:b/>
          <w:bCs/>
        </w:rPr>
        <w:t>require extensive furniture and technology support, an in-</w:t>
      </w:r>
      <w:r w:rsidRPr="0539489B">
        <w:rPr>
          <w:b/>
          <w:bCs/>
        </w:rPr>
        <w:lastRenderedPageBreak/>
        <w:t>person building walkthrough</w:t>
      </w:r>
      <w:r>
        <w:t xml:space="preserve"> will be scheduled. Finally, any event that requires extensive support from campus event services (such as large receptions in the Gallery</w:t>
      </w:r>
      <w:r w:rsidRPr="0539489B">
        <w:rPr>
          <w:b/>
          <w:bCs/>
        </w:rPr>
        <w:t>) requires proactive communication</w:t>
      </w:r>
      <w:r>
        <w:t xml:space="preserve"> to ensure that LNDL, Campus Event Services, and the Event Organizer understand and support one another. </w:t>
      </w:r>
    </w:p>
    <w:p w14:paraId="6F15E21B" w14:textId="77777777" w:rsidR="00A512D2" w:rsidRDefault="00A512D2" w:rsidP="00A512D2">
      <w:pPr>
        <w:pStyle w:val="Heading3"/>
      </w:pPr>
      <w:r>
        <w:t>Parking at LNDL</w:t>
      </w:r>
    </w:p>
    <w:p w14:paraId="3590238A" w14:textId="27940ED0" w:rsidR="00A512D2" w:rsidRDefault="00A512D2" w:rsidP="00A512D2">
      <w:r>
        <w:t xml:space="preserve">The Library has its own parking lot with approximately 60 spots. Here is more information about </w:t>
      </w:r>
      <w:hyperlink r:id="rId20">
        <w:r w:rsidRPr="55C2D5AD">
          <w:rPr>
            <w:rStyle w:val="Hyperlink"/>
          </w:rPr>
          <w:t>Directions and Parking</w:t>
        </w:r>
      </w:hyperlink>
      <w:r>
        <w:t xml:space="preserve"> at LNDL. Due to the need to maintain library operations during events,</w:t>
      </w:r>
      <w:r w:rsidRPr="55C2D5AD">
        <w:rPr>
          <w:b/>
          <w:bCs/>
        </w:rPr>
        <w:t xml:space="preserve"> LNDL cannot guarantee a specific number of spots to be available for events</w:t>
      </w:r>
      <w:r>
        <w:t xml:space="preserve">. Events that require transportation via charter bus or large vehicles require additional coordination. </w:t>
      </w:r>
      <w:r w:rsidR="5DD75C26">
        <w:t xml:space="preserve">LNDL can advise on options for overflow or offsite parking. </w:t>
      </w:r>
    </w:p>
    <w:p w14:paraId="70CEB74E" w14:textId="77777777" w:rsidR="00B32AA5" w:rsidRDefault="00B32AA5" w:rsidP="00B32AA5">
      <w:pPr>
        <w:pStyle w:val="Heading3"/>
      </w:pPr>
      <w:r w:rsidRPr="6E9196FD">
        <w:t xml:space="preserve">Equipment &amp; Furniture Support (Access Services) </w:t>
      </w:r>
    </w:p>
    <w:p w14:paraId="566B55D3" w14:textId="72204B1E" w:rsidR="00B32AA5" w:rsidRDefault="00B32AA5" w:rsidP="00B32AA5">
      <w:r>
        <w:t>The library can provide various support equipment for events. Here is an overview of LNDL event materials available:</w:t>
      </w:r>
    </w:p>
    <w:p w14:paraId="3C36AE54" w14:textId="64563814" w:rsidR="00A4B2B2" w:rsidRDefault="00A4B2B2" w:rsidP="6801D2A3">
      <w:pPr>
        <w:pStyle w:val="ListParagraph"/>
        <w:numPr>
          <w:ilvl w:val="0"/>
          <w:numId w:val="3"/>
        </w:numPr>
      </w:pPr>
      <w:r w:rsidRPr="6801D2A3">
        <w:rPr>
          <w:rFonts w:ascii="Aptos" w:eastAsia="Aptos" w:hAnsi="Aptos" w:cs="Aptos"/>
          <w:color w:val="000000" w:themeColor="text1"/>
        </w:rPr>
        <w:t xml:space="preserve">Portable Bluetooth Speaker and Wireless Mics (2) </w:t>
      </w:r>
      <w:r w:rsidRPr="6801D2A3">
        <w:t xml:space="preserve"> </w:t>
      </w:r>
    </w:p>
    <w:p w14:paraId="1ADB3D62" w14:textId="77777777" w:rsidR="00B32AA5" w:rsidRDefault="00B32AA5" w:rsidP="00B32AA5">
      <w:pPr>
        <w:pStyle w:val="ListParagraph"/>
        <w:numPr>
          <w:ilvl w:val="0"/>
          <w:numId w:val="3"/>
        </w:numPr>
      </w:pPr>
      <w:r>
        <w:t>Folding Tables</w:t>
      </w:r>
      <w:commentRangeStart w:id="2"/>
      <w:commentRangeStart w:id="3"/>
      <w:commentRangeEnd w:id="2"/>
      <w:r>
        <w:rPr>
          <w:rStyle w:val="CommentReference"/>
          <w:sz w:val="24"/>
          <w:szCs w:val="24"/>
        </w:rPr>
        <w:commentReference w:id="2"/>
      </w:r>
      <w:commentRangeEnd w:id="3"/>
      <w:r>
        <w:rPr>
          <w:rStyle w:val="CommentReference"/>
          <w:sz w:val="24"/>
          <w:szCs w:val="24"/>
        </w:rPr>
        <w:commentReference w:id="3"/>
      </w:r>
    </w:p>
    <w:p w14:paraId="704AB52F" w14:textId="77777777" w:rsidR="00A217D1" w:rsidRDefault="00A217D1" w:rsidP="00A217D1">
      <w:pPr>
        <w:pStyle w:val="ListParagraph"/>
        <w:numPr>
          <w:ilvl w:val="1"/>
          <w:numId w:val="3"/>
        </w:numPr>
      </w:pPr>
      <w:r>
        <w:t xml:space="preserve">Three 8ft tables </w:t>
      </w:r>
    </w:p>
    <w:p w14:paraId="576DD636" w14:textId="49A22ABD" w:rsidR="00420A2D" w:rsidRDefault="00A217D1" w:rsidP="002C6C5E">
      <w:pPr>
        <w:pStyle w:val="ListParagraph"/>
        <w:numPr>
          <w:ilvl w:val="1"/>
          <w:numId w:val="3"/>
        </w:numPr>
      </w:pPr>
      <w:r>
        <w:t>Two 6ft tables</w:t>
      </w:r>
    </w:p>
    <w:p w14:paraId="4D31D04C" w14:textId="1C32798D" w:rsidR="00B32AA5" w:rsidRDefault="00B32AA5" w:rsidP="00B32AA5">
      <w:r>
        <w:t>Also, Event Organizers can coordinate with the Access Services Operations Supervisor to s</w:t>
      </w:r>
      <w:r w:rsidRPr="6E9196FD">
        <w:t xml:space="preserve">tore </w:t>
      </w:r>
      <w:r>
        <w:t>e</w:t>
      </w:r>
      <w:r w:rsidRPr="6E9196FD">
        <w:t xml:space="preserve">vent </w:t>
      </w:r>
      <w:r>
        <w:t xml:space="preserve">materials in the Access Services Office Area a couple of days before their event. </w:t>
      </w:r>
      <w:r w:rsidRPr="6E9196FD">
        <w:t xml:space="preserve"> </w:t>
      </w:r>
    </w:p>
    <w:p w14:paraId="0B10E2CE" w14:textId="77777777" w:rsidR="00B32AA5" w:rsidRDefault="00B32AA5" w:rsidP="00B32AA5">
      <w:pPr>
        <w:pStyle w:val="Heading3"/>
      </w:pPr>
      <w:r w:rsidRPr="6E9196FD">
        <w:t>Event Technology Support (InfoTech</w:t>
      </w:r>
      <w:r>
        <w:t>)</w:t>
      </w:r>
    </w:p>
    <w:p w14:paraId="21D9C198" w14:textId="77777777" w:rsidR="00B32AA5" w:rsidRDefault="00B32AA5" w:rsidP="00B32AA5">
      <w:r>
        <w:t>The Library’s Information Technology unit can provide some support for event organizers</w:t>
      </w:r>
    </w:p>
    <w:p w14:paraId="39E4A602" w14:textId="77777777" w:rsidR="00B32AA5" w:rsidRDefault="00B32AA5" w:rsidP="00B32AA5">
      <w:r>
        <w:t xml:space="preserve">This includes: </w:t>
      </w:r>
    </w:p>
    <w:p w14:paraId="13C160A3" w14:textId="77777777" w:rsidR="00B32AA5" w:rsidRDefault="00B32AA5" w:rsidP="00B32AA5">
      <w:pPr>
        <w:pStyle w:val="ListParagraph"/>
        <w:numPr>
          <w:ilvl w:val="0"/>
          <w:numId w:val="1"/>
        </w:numPr>
      </w:pPr>
      <w:r>
        <w:t>AV Tech Troubleshooting</w:t>
      </w:r>
    </w:p>
    <w:p w14:paraId="6EAB9943" w14:textId="16976225" w:rsidR="70FBD79C" w:rsidRDefault="70FBD79C" w:rsidP="6801D2A3">
      <w:pPr>
        <w:pStyle w:val="ListParagraph"/>
        <w:numPr>
          <w:ilvl w:val="0"/>
          <w:numId w:val="1"/>
        </w:numPr>
      </w:pPr>
      <w:r w:rsidRPr="6801D2A3">
        <w:rPr>
          <w:rFonts w:ascii="Aptos" w:eastAsia="Aptos" w:hAnsi="Aptos" w:cs="Aptos"/>
          <w:color w:val="000000" w:themeColor="text1"/>
        </w:rPr>
        <w:t>Educational Technology Staging (Collaboration Stations, Zoom Carts)</w:t>
      </w:r>
    </w:p>
    <w:p w14:paraId="7CA512BF" w14:textId="77777777" w:rsidR="00B32AA5" w:rsidRPr="0016704F" w:rsidRDefault="00B32AA5" w:rsidP="00B32AA5">
      <w:pPr>
        <w:pStyle w:val="ListParagraph"/>
        <w:numPr>
          <w:ilvl w:val="0"/>
          <w:numId w:val="1"/>
        </w:numPr>
      </w:pPr>
      <w:r>
        <w:t xml:space="preserve">Hybrid Technology Set-up </w:t>
      </w:r>
    </w:p>
    <w:sectPr w:rsidR="00B32AA5" w:rsidRPr="0016704F">
      <w:headerReference w:type="default" r:id="rId21"/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ennifer Kinniff" w:date="2026-07-20T12:14:00Z" w:initials="JK">
    <w:p w14:paraId="7D1272FE" w14:textId="687F0C77" w:rsidR="00B97285" w:rsidRDefault="00B97285">
      <w:pPr>
        <w:pStyle w:val="CommentText"/>
      </w:pPr>
      <w:r>
        <w:rPr>
          <w:rStyle w:val="CommentReference"/>
        </w:rPr>
        <w:annotationRef/>
      </w:r>
      <w:r w:rsidRPr="4C72CBF3">
        <w:t xml:space="preserve">Suggest rewording to "in other areas of the building that may be reserved" </w:t>
      </w:r>
    </w:p>
  </w:comment>
  <w:comment w:id="1" w:author="Michelle Williams" w:date="2026-07-20T14:31:00Z" w:initials="MW">
    <w:p w14:paraId="47C5A55D" w14:textId="77777777" w:rsidR="00C7708B" w:rsidRDefault="00C7708B" w:rsidP="00C7708B">
      <w:pPr>
        <w:pStyle w:val="CommentText"/>
      </w:pPr>
      <w:r>
        <w:rPr>
          <w:rStyle w:val="CommentReference"/>
        </w:rPr>
        <w:annotationRef/>
      </w:r>
      <w:r>
        <w:t>Rewording makes sense and was changed</w:t>
      </w:r>
    </w:p>
  </w:comment>
  <w:comment w:id="2" w:author="Jennifer Kinniff" w:date="2026-07-20T12:16:00Z" w:initials="JK">
    <w:p w14:paraId="727E498A" w14:textId="00D83EC5" w:rsidR="00B97285" w:rsidRDefault="00B97285">
      <w:pPr>
        <w:pStyle w:val="CommentText"/>
      </w:pPr>
      <w:r>
        <w:rPr>
          <w:rStyle w:val="CommentReference"/>
        </w:rPr>
        <w:annotationRef/>
      </w:r>
      <w:r w:rsidRPr="131772EF">
        <w:t>Listing the locations below seems unnecessary for a public-facing policy</w:t>
      </w:r>
    </w:p>
  </w:comment>
  <w:comment w:id="3" w:author="Michelle Williams" w:date="2026-07-20T14:32:00Z" w:initials="MW">
    <w:p w14:paraId="67CB51D6" w14:textId="77777777" w:rsidR="004D7586" w:rsidRDefault="004D7586" w:rsidP="004D7586">
      <w:pPr>
        <w:pStyle w:val="CommentText"/>
      </w:pPr>
      <w:r>
        <w:rPr>
          <w:rStyle w:val="CommentReference"/>
        </w:rPr>
        <w:annotationRef/>
      </w:r>
      <w:r>
        <w:t>Yes, this has been edited accordingly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D1272FE" w15:done="1"/>
  <w15:commentEx w15:paraId="47C5A55D" w15:paraIdParent="7D1272FE" w15:done="1"/>
  <w15:commentEx w15:paraId="727E498A" w15:done="1"/>
  <w15:commentEx w15:paraId="67CB51D6" w15:paraIdParent="727E498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E27B64D" w16cex:dateUtc="2026-07-20T16:14:00Z"/>
  <w16cex:commentExtensible w16cex:durableId="4FC13681" w16cex:dateUtc="2026-07-20T18:31:00Z"/>
  <w16cex:commentExtensible w16cex:durableId="09BE0BB5" w16cex:dateUtc="2026-07-20T16:16:00Z"/>
  <w16cex:commentExtensible w16cex:durableId="4A0439DC" w16cex:dateUtc="2026-07-20T18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D1272FE" w16cid:durableId="2E27B64D"/>
  <w16cid:commentId w16cid:paraId="47C5A55D" w16cid:durableId="4FC13681"/>
  <w16cid:commentId w16cid:paraId="727E498A" w16cid:durableId="09BE0BB5"/>
  <w16cid:commentId w16cid:paraId="67CB51D6" w16cid:durableId="4A0439D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91F20" w14:textId="77777777" w:rsidR="0017237C" w:rsidRDefault="0017237C">
      <w:pPr>
        <w:spacing w:after="0" w:line="240" w:lineRule="auto"/>
      </w:pPr>
      <w:r>
        <w:separator/>
      </w:r>
    </w:p>
  </w:endnote>
  <w:endnote w:type="continuationSeparator" w:id="0">
    <w:p w14:paraId="2630334D" w14:textId="77777777" w:rsidR="0017237C" w:rsidRDefault="00172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E9196FD" w14:paraId="31D823E5" w14:textId="77777777" w:rsidTr="6E9196FD">
      <w:trPr>
        <w:trHeight w:val="300"/>
      </w:trPr>
      <w:tc>
        <w:tcPr>
          <w:tcW w:w="3120" w:type="dxa"/>
        </w:tcPr>
        <w:p w14:paraId="34E42E4A" w14:textId="77777777" w:rsidR="6E9196FD" w:rsidRDefault="6E9196FD" w:rsidP="6E9196FD">
          <w:pPr>
            <w:pStyle w:val="Header"/>
            <w:ind w:left="-115"/>
          </w:pPr>
        </w:p>
      </w:tc>
      <w:tc>
        <w:tcPr>
          <w:tcW w:w="3120" w:type="dxa"/>
        </w:tcPr>
        <w:p w14:paraId="30D0A633" w14:textId="77777777" w:rsidR="6E9196FD" w:rsidRDefault="6E9196FD" w:rsidP="6E9196FD">
          <w:pPr>
            <w:pStyle w:val="Header"/>
            <w:jc w:val="center"/>
          </w:pPr>
        </w:p>
      </w:tc>
      <w:tc>
        <w:tcPr>
          <w:tcW w:w="3120" w:type="dxa"/>
        </w:tcPr>
        <w:p w14:paraId="4F84B9C9" w14:textId="77777777" w:rsidR="6E9196FD" w:rsidRDefault="6E9196FD" w:rsidP="6E9196FD">
          <w:pPr>
            <w:pStyle w:val="Header"/>
            <w:ind w:right="-115"/>
            <w:jc w:val="right"/>
          </w:pPr>
        </w:p>
      </w:tc>
    </w:tr>
  </w:tbl>
  <w:p w14:paraId="4BE5D3CB" w14:textId="77777777" w:rsidR="6E9196FD" w:rsidRDefault="6E9196FD" w:rsidP="6E9196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95660" w14:textId="77777777" w:rsidR="0017237C" w:rsidRDefault="0017237C">
      <w:pPr>
        <w:spacing w:after="0" w:line="240" w:lineRule="auto"/>
      </w:pPr>
      <w:r>
        <w:separator/>
      </w:r>
    </w:p>
  </w:footnote>
  <w:footnote w:type="continuationSeparator" w:id="0">
    <w:p w14:paraId="66B9FD22" w14:textId="77777777" w:rsidR="0017237C" w:rsidRDefault="00172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E9196FD" w14:paraId="525C5702" w14:textId="77777777" w:rsidTr="6E9196FD">
      <w:trPr>
        <w:trHeight w:val="300"/>
      </w:trPr>
      <w:tc>
        <w:tcPr>
          <w:tcW w:w="3120" w:type="dxa"/>
        </w:tcPr>
        <w:p w14:paraId="0263087E" w14:textId="77777777" w:rsidR="6E9196FD" w:rsidRDefault="6E9196FD" w:rsidP="6E9196FD">
          <w:pPr>
            <w:pStyle w:val="Header"/>
            <w:ind w:left="-115"/>
          </w:pPr>
        </w:p>
      </w:tc>
      <w:tc>
        <w:tcPr>
          <w:tcW w:w="3120" w:type="dxa"/>
        </w:tcPr>
        <w:p w14:paraId="2C498B0A" w14:textId="77777777" w:rsidR="6E9196FD" w:rsidRDefault="6E9196FD" w:rsidP="6E9196FD">
          <w:pPr>
            <w:pStyle w:val="Header"/>
            <w:jc w:val="center"/>
          </w:pPr>
        </w:p>
      </w:tc>
      <w:tc>
        <w:tcPr>
          <w:tcW w:w="3120" w:type="dxa"/>
        </w:tcPr>
        <w:p w14:paraId="1C67BA21" w14:textId="77777777" w:rsidR="6E9196FD" w:rsidRDefault="6E9196FD" w:rsidP="6E9196FD">
          <w:pPr>
            <w:pStyle w:val="Header"/>
            <w:ind w:right="-115"/>
            <w:jc w:val="right"/>
          </w:pPr>
        </w:p>
      </w:tc>
    </w:tr>
  </w:tbl>
  <w:p w14:paraId="3B82CB75" w14:textId="77777777" w:rsidR="6E9196FD" w:rsidRDefault="6E9196FD" w:rsidP="6E9196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9388"/>
    <w:multiLevelType w:val="hybridMultilevel"/>
    <w:tmpl w:val="043E2266"/>
    <w:lvl w:ilvl="0" w:tplc="27D22516">
      <w:start w:val="1"/>
      <w:numFmt w:val="decimal"/>
      <w:lvlText w:val="%1."/>
      <w:lvlJc w:val="left"/>
      <w:pPr>
        <w:ind w:left="720" w:hanging="360"/>
      </w:pPr>
    </w:lvl>
    <w:lvl w:ilvl="1" w:tplc="0C42C3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C474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5ECE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E64C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C0C9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B050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88FE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3A1E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4A691"/>
    <w:multiLevelType w:val="hybridMultilevel"/>
    <w:tmpl w:val="6700E44C"/>
    <w:lvl w:ilvl="0" w:tplc="BAF4C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DCF0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CCA3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F6C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6E8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5C6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14B0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2221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12F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9C413"/>
    <w:multiLevelType w:val="hybridMultilevel"/>
    <w:tmpl w:val="FFFFFFFF"/>
    <w:lvl w:ilvl="0" w:tplc="02F033CE">
      <w:start w:val="1"/>
      <w:numFmt w:val="decimal"/>
      <w:lvlText w:val="%1."/>
      <w:lvlJc w:val="left"/>
      <w:pPr>
        <w:ind w:left="720" w:hanging="360"/>
      </w:pPr>
    </w:lvl>
    <w:lvl w:ilvl="1" w:tplc="CC06BF24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41246B04">
      <w:start w:val="1"/>
      <w:numFmt w:val="lowerRoman"/>
      <w:lvlText w:val="%3."/>
      <w:lvlJc w:val="right"/>
      <w:pPr>
        <w:ind w:left="2160" w:hanging="180"/>
      </w:pPr>
    </w:lvl>
    <w:lvl w:ilvl="3" w:tplc="020C040C">
      <w:start w:val="1"/>
      <w:numFmt w:val="decimal"/>
      <w:lvlText w:val="%4."/>
      <w:lvlJc w:val="left"/>
      <w:pPr>
        <w:ind w:left="2880" w:hanging="360"/>
      </w:pPr>
    </w:lvl>
    <w:lvl w:ilvl="4" w:tplc="83281AD0">
      <w:start w:val="1"/>
      <w:numFmt w:val="lowerLetter"/>
      <w:lvlText w:val="%5."/>
      <w:lvlJc w:val="left"/>
      <w:pPr>
        <w:ind w:left="3600" w:hanging="360"/>
      </w:pPr>
    </w:lvl>
    <w:lvl w:ilvl="5" w:tplc="0DE8CB62">
      <w:start w:val="1"/>
      <w:numFmt w:val="lowerRoman"/>
      <w:lvlText w:val="%6."/>
      <w:lvlJc w:val="right"/>
      <w:pPr>
        <w:ind w:left="4320" w:hanging="180"/>
      </w:pPr>
    </w:lvl>
    <w:lvl w:ilvl="6" w:tplc="F38CE7B2">
      <w:start w:val="1"/>
      <w:numFmt w:val="decimal"/>
      <w:lvlText w:val="%7."/>
      <w:lvlJc w:val="left"/>
      <w:pPr>
        <w:ind w:left="5040" w:hanging="360"/>
      </w:pPr>
    </w:lvl>
    <w:lvl w:ilvl="7" w:tplc="35AEC138">
      <w:start w:val="1"/>
      <w:numFmt w:val="lowerLetter"/>
      <w:lvlText w:val="%8."/>
      <w:lvlJc w:val="left"/>
      <w:pPr>
        <w:ind w:left="5760" w:hanging="360"/>
      </w:pPr>
    </w:lvl>
    <w:lvl w:ilvl="8" w:tplc="23F0279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EFD57"/>
    <w:multiLevelType w:val="hybridMultilevel"/>
    <w:tmpl w:val="61A22306"/>
    <w:lvl w:ilvl="0" w:tplc="23CCB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1EA2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A8F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1E20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5E76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4214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6E7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3000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9E2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27646"/>
    <w:multiLevelType w:val="hybridMultilevel"/>
    <w:tmpl w:val="F2C65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2F82A"/>
    <w:multiLevelType w:val="hybridMultilevel"/>
    <w:tmpl w:val="780CE20A"/>
    <w:lvl w:ilvl="0" w:tplc="47B8F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E628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9A81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DA3E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0C44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2CF0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2479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E495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8C3D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4561A"/>
    <w:multiLevelType w:val="hybridMultilevel"/>
    <w:tmpl w:val="E5662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F85B2C"/>
    <w:multiLevelType w:val="hybridMultilevel"/>
    <w:tmpl w:val="EDB28CA4"/>
    <w:lvl w:ilvl="0" w:tplc="10D068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648B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A4C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224E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6677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02E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B09F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5A19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5C6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55F5F"/>
    <w:multiLevelType w:val="hybridMultilevel"/>
    <w:tmpl w:val="B986F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219910">
    <w:abstractNumId w:val="6"/>
  </w:num>
  <w:num w:numId="2" w16cid:durableId="1402558792">
    <w:abstractNumId w:val="5"/>
  </w:num>
  <w:num w:numId="3" w16cid:durableId="1409309364">
    <w:abstractNumId w:val="8"/>
  </w:num>
  <w:num w:numId="4" w16cid:durableId="1559508066">
    <w:abstractNumId w:val="3"/>
  </w:num>
  <w:num w:numId="5" w16cid:durableId="1871338444">
    <w:abstractNumId w:val="0"/>
  </w:num>
  <w:num w:numId="6" w16cid:durableId="237710395">
    <w:abstractNumId w:val="7"/>
  </w:num>
  <w:num w:numId="7" w16cid:durableId="287667480">
    <w:abstractNumId w:val="1"/>
  </w:num>
  <w:num w:numId="8" w16cid:durableId="425463379">
    <w:abstractNumId w:val="4"/>
  </w:num>
  <w:num w:numId="9" w16cid:durableId="81364437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ennifer Kinniff">
    <w15:presenceInfo w15:providerId="AD" w15:userId="S::jkinniff@loyola.edu::d403d221-2e9c-4894-9b19-502d4ab4ad22"/>
  </w15:person>
  <w15:person w15:author="Michelle Williams">
    <w15:presenceInfo w15:providerId="AD" w15:userId="S::mwilliams11@loyola.edu::e2467134-f014-40dc-a84c-09e4eade93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85F438"/>
    <w:rsid w:val="00034EC4"/>
    <w:rsid w:val="00044261"/>
    <w:rsid w:val="00045603"/>
    <w:rsid w:val="00051B9E"/>
    <w:rsid w:val="00056676"/>
    <w:rsid w:val="00062F9C"/>
    <w:rsid w:val="00064EA6"/>
    <w:rsid w:val="00081D02"/>
    <w:rsid w:val="000A3B02"/>
    <w:rsid w:val="00117E74"/>
    <w:rsid w:val="001350E2"/>
    <w:rsid w:val="00137A78"/>
    <w:rsid w:val="001571B1"/>
    <w:rsid w:val="00162E01"/>
    <w:rsid w:val="00165F24"/>
    <w:rsid w:val="0016716E"/>
    <w:rsid w:val="0017237C"/>
    <w:rsid w:val="001C2BFB"/>
    <w:rsid w:val="001D1284"/>
    <w:rsid w:val="001D3945"/>
    <w:rsid w:val="001D7F61"/>
    <w:rsid w:val="001E175D"/>
    <w:rsid w:val="001F4FFC"/>
    <w:rsid w:val="001F5862"/>
    <w:rsid w:val="001F611C"/>
    <w:rsid w:val="00203EA8"/>
    <w:rsid w:val="00204F32"/>
    <w:rsid w:val="00230697"/>
    <w:rsid w:val="002366F9"/>
    <w:rsid w:val="00244E52"/>
    <w:rsid w:val="00276976"/>
    <w:rsid w:val="002822E6"/>
    <w:rsid w:val="00283C10"/>
    <w:rsid w:val="002C6C5E"/>
    <w:rsid w:val="002F23D8"/>
    <w:rsid w:val="0032120E"/>
    <w:rsid w:val="00324174"/>
    <w:rsid w:val="003301B2"/>
    <w:rsid w:val="003662D2"/>
    <w:rsid w:val="00373C26"/>
    <w:rsid w:val="00382FB3"/>
    <w:rsid w:val="003C1055"/>
    <w:rsid w:val="003C64EB"/>
    <w:rsid w:val="003D02DC"/>
    <w:rsid w:val="003E3B23"/>
    <w:rsid w:val="00413240"/>
    <w:rsid w:val="00420A2D"/>
    <w:rsid w:val="00426E21"/>
    <w:rsid w:val="00445666"/>
    <w:rsid w:val="0046689A"/>
    <w:rsid w:val="00476143"/>
    <w:rsid w:val="00480E93"/>
    <w:rsid w:val="004844EE"/>
    <w:rsid w:val="004859F2"/>
    <w:rsid w:val="004B3874"/>
    <w:rsid w:val="004D5F06"/>
    <w:rsid w:val="004D7586"/>
    <w:rsid w:val="00502BF3"/>
    <w:rsid w:val="00512CD7"/>
    <w:rsid w:val="00515FCE"/>
    <w:rsid w:val="00521B45"/>
    <w:rsid w:val="00527773"/>
    <w:rsid w:val="005315C4"/>
    <w:rsid w:val="005439EE"/>
    <w:rsid w:val="00552C61"/>
    <w:rsid w:val="00560E1D"/>
    <w:rsid w:val="00562F71"/>
    <w:rsid w:val="00585C10"/>
    <w:rsid w:val="005C2E7D"/>
    <w:rsid w:val="005D626F"/>
    <w:rsid w:val="005F5470"/>
    <w:rsid w:val="00600574"/>
    <w:rsid w:val="00615113"/>
    <w:rsid w:val="006253E3"/>
    <w:rsid w:val="006267DF"/>
    <w:rsid w:val="00633C5E"/>
    <w:rsid w:val="00641288"/>
    <w:rsid w:val="006A5E2E"/>
    <w:rsid w:val="006A74B6"/>
    <w:rsid w:val="006C6C19"/>
    <w:rsid w:val="006D5F2A"/>
    <w:rsid w:val="006F041E"/>
    <w:rsid w:val="00702535"/>
    <w:rsid w:val="00730C29"/>
    <w:rsid w:val="0075226F"/>
    <w:rsid w:val="00774325"/>
    <w:rsid w:val="00777693"/>
    <w:rsid w:val="007A3C1D"/>
    <w:rsid w:val="007A6509"/>
    <w:rsid w:val="007D1FF0"/>
    <w:rsid w:val="00894C9B"/>
    <w:rsid w:val="008B4932"/>
    <w:rsid w:val="008B657B"/>
    <w:rsid w:val="008D01ED"/>
    <w:rsid w:val="008D0737"/>
    <w:rsid w:val="008E2C97"/>
    <w:rsid w:val="008E2E1E"/>
    <w:rsid w:val="00902F33"/>
    <w:rsid w:val="00934ED7"/>
    <w:rsid w:val="009509EC"/>
    <w:rsid w:val="00963D78"/>
    <w:rsid w:val="00986956"/>
    <w:rsid w:val="009C647B"/>
    <w:rsid w:val="009D43D0"/>
    <w:rsid w:val="009F0A2D"/>
    <w:rsid w:val="00A217D1"/>
    <w:rsid w:val="00A34383"/>
    <w:rsid w:val="00A35341"/>
    <w:rsid w:val="00A4B2B2"/>
    <w:rsid w:val="00A512D2"/>
    <w:rsid w:val="00AA7DDB"/>
    <w:rsid w:val="00AB0202"/>
    <w:rsid w:val="00AC3B42"/>
    <w:rsid w:val="00AE5720"/>
    <w:rsid w:val="00B20496"/>
    <w:rsid w:val="00B23A55"/>
    <w:rsid w:val="00B32AA5"/>
    <w:rsid w:val="00B7549F"/>
    <w:rsid w:val="00B7D88F"/>
    <w:rsid w:val="00B97285"/>
    <w:rsid w:val="00BC5EFF"/>
    <w:rsid w:val="00BD25C4"/>
    <w:rsid w:val="00BF746C"/>
    <w:rsid w:val="00C07C58"/>
    <w:rsid w:val="00C14FF3"/>
    <w:rsid w:val="00C3208C"/>
    <w:rsid w:val="00C51476"/>
    <w:rsid w:val="00C57F38"/>
    <w:rsid w:val="00C70FDC"/>
    <w:rsid w:val="00C72C27"/>
    <w:rsid w:val="00C7708B"/>
    <w:rsid w:val="00C8735D"/>
    <w:rsid w:val="00C940E1"/>
    <w:rsid w:val="00CB77AB"/>
    <w:rsid w:val="00CD639F"/>
    <w:rsid w:val="00CE09F9"/>
    <w:rsid w:val="00CE2718"/>
    <w:rsid w:val="00CF3DE5"/>
    <w:rsid w:val="00CF3FA2"/>
    <w:rsid w:val="00D23054"/>
    <w:rsid w:val="00D47D5A"/>
    <w:rsid w:val="00D63587"/>
    <w:rsid w:val="00D82C36"/>
    <w:rsid w:val="00D9476A"/>
    <w:rsid w:val="00DA138F"/>
    <w:rsid w:val="00DB7A33"/>
    <w:rsid w:val="00DD0F3D"/>
    <w:rsid w:val="00DD2AE3"/>
    <w:rsid w:val="00E0579C"/>
    <w:rsid w:val="00E227DB"/>
    <w:rsid w:val="00E457A7"/>
    <w:rsid w:val="00E96AC2"/>
    <w:rsid w:val="00ED1D15"/>
    <w:rsid w:val="00ED7595"/>
    <w:rsid w:val="00EE7EBB"/>
    <w:rsid w:val="00EF2BD0"/>
    <w:rsid w:val="00F02EA5"/>
    <w:rsid w:val="00F1321C"/>
    <w:rsid w:val="00F46EF7"/>
    <w:rsid w:val="00F56D0B"/>
    <w:rsid w:val="00F841DC"/>
    <w:rsid w:val="00FA42B7"/>
    <w:rsid w:val="00FE53E6"/>
    <w:rsid w:val="00FF38FE"/>
    <w:rsid w:val="01175CC1"/>
    <w:rsid w:val="023EE044"/>
    <w:rsid w:val="02CC0B21"/>
    <w:rsid w:val="02CC45FD"/>
    <w:rsid w:val="02EC22DB"/>
    <w:rsid w:val="033425FB"/>
    <w:rsid w:val="038A6C71"/>
    <w:rsid w:val="03FBC06E"/>
    <w:rsid w:val="04B568B6"/>
    <w:rsid w:val="04D24DE5"/>
    <w:rsid w:val="0539489B"/>
    <w:rsid w:val="05780D4B"/>
    <w:rsid w:val="0584C197"/>
    <w:rsid w:val="059A086C"/>
    <w:rsid w:val="05A0CAA7"/>
    <w:rsid w:val="061D1463"/>
    <w:rsid w:val="067F6938"/>
    <w:rsid w:val="0687E0DA"/>
    <w:rsid w:val="076507A1"/>
    <w:rsid w:val="07830507"/>
    <w:rsid w:val="079380F5"/>
    <w:rsid w:val="082E0109"/>
    <w:rsid w:val="086495D2"/>
    <w:rsid w:val="08747445"/>
    <w:rsid w:val="088BA336"/>
    <w:rsid w:val="08C4F457"/>
    <w:rsid w:val="08D52357"/>
    <w:rsid w:val="09360E5B"/>
    <w:rsid w:val="09996589"/>
    <w:rsid w:val="0A400AF4"/>
    <w:rsid w:val="0ABF95DC"/>
    <w:rsid w:val="0BFDF573"/>
    <w:rsid w:val="0C075485"/>
    <w:rsid w:val="0D296C6B"/>
    <w:rsid w:val="0D8504D7"/>
    <w:rsid w:val="0D8E635C"/>
    <w:rsid w:val="0DE8F15B"/>
    <w:rsid w:val="0E1A7C2A"/>
    <w:rsid w:val="0EAEC86D"/>
    <w:rsid w:val="0EE7C441"/>
    <w:rsid w:val="0F04AF52"/>
    <w:rsid w:val="0F04C991"/>
    <w:rsid w:val="0F4610B5"/>
    <w:rsid w:val="0F921A12"/>
    <w:rsid w:val="0FA974C7"/>
    <w:rsid w:val="104D16B3"/>
    <w:rsid w:val="10846A0E"/>
    <w:rsid w:val="10BA1EA6"/>
    <w:rsid w:val="10BEB1DE"/>
    <w:rsid w:val="10D1D202"/>
    <w:rsid w:val="10DCFBBB"/>
    <w:rsid w:val="1142EB4B"/>
    <w:rsid w:val="12AB3EB4"/>
    <w:rsid w:val="13A50845"/>
    <w:rsid w:val="13F1E800"/>
    <w:rsid w:val="14206186"/>
    <w:rsid w:val="145F4407"/>
    <w:rsid w:val="154BA09A"/>
    <w:rsid w:val="155C1458"/>
    <w:rsid w:val="165DC1C4"/>
    <w:rsid w:val="170A8940"/>
    <w:rsid w:val="1770681E"/>
    <w:rsid w:val="17A36C33"/>
    <w:rsid w:val="17D3636E"/>
    <w:rsid w:val="180C3EEA"/>
    <w:rsid w:val="1812067D"/>
    <w:rsid w:val="1857F41A"/>
    <w:rsid w:val="18971EA1"/>
    <w:rsid w:val="18DAF998"/>
    <w:rsid w:val="195481FA"/>
    <w:rsid w:val="19BE2E23"/>
    <w:rsid w:val="1B4B4710"/>
    <w:rsid w:val="1C4A5398"/>
    <w:rsid w:val="1C5C37FC"/>
    <w:rsid w:val="1C8BB790"/>
    <w:rsid w:val="1CC9AE96"/>
    <w:rsid w:val="1D016E13"/>
    <w:rsid w:val="1D2946BF"/>
    <w:rsid w:val="1D661DFD"/>
    <w:rsid w:val="2018948E"/>
    <w:rsid w:val="2098F364"/>
    <w:rsid w:val="20CCD7AA"/>
    <w:rsid w:val="20D792E5"/>
    <w:rsid w:val="212F31BE"/>
    <w:rsid w:val="2179C3AB"/>
    <w:rsid w:val="218E4DBB"/>
    <w:rsid w:val="218EC0C0"/>
    <w:rsid w:val="21A8DD46"/>
    <w:rsid w:val="21C5C235"/>
    <w:rsid w:val="2219223A"/>
    <w:rsid w:val="22CFDC79"/>
    <w:rsid w:val="22FB442F"/>
    <w:rsid w:val="234AFC29"/>
    <w:rsid w:val="23E988E3"/>
    <w:rsid w:val="23EEE4CD"/>
    <w:rsid w:val="24299181"/>
    <w:rsid w:val="243C5CC3"/>
    <w:rsid w:val="244D4EAE"/>
    <w:rsid w:val="24C6158A"/>
    <w:rsid w:val="265ABC84"/>
    <w:rsid w:val="266A4D57"/>
    <w:rsid w:val="268C10DF"/>
    <w:rsid w:val="2701B7FC"/>
    <w:rsid w:val="2773156C"/>
    <w:rsid w:val="2918224D"/>
    <w:rsid w:val="2953BB58"/>
    <w:rsid w:val="29A0159D"/>
    <w:rsid w:val="29A5578B"/>
    <w:rsid w:val="29D26231"/>
    <w:rsid w:val="29F964D4"/>
    <w:rsid w:val="2ACD5D85"/>
    <w:rsid w:val="2B89AF29"/>
    <w:rsid w:val="2C2B1C4B"/>
    <w:rsid w:val="2C5A1C3B"/>
    <w:rsid w:val="2C8CFC96"/>
    <w:rsid w:val="2CE74F65"/>
    <w:rsid w:val="2DE38046"/>
    <w:rsid w:val="2E940887"/>
    <w:rsid w:val="2F21F363"/>
    <w:rsid w:val="2F3425C5"/>
    <w:rsid w:val="2F6230A8"/>
    <w:rsid w:val="2FD11171"/>
    <w:rsid w:val="30F78B6E"/>
    <w:rsid w:val="30FEF165"/>
    <w:rsid w:val="316094F6"/>
    <w:rsid w:val="3212C657"/>
    <w:rsid w:val="3213662B"/>
    <w:rsid w:val="32198BC3"/>
    <w:rsid w:val="323A6FD8"/>
    <w:rsid w:val="32ACCF36"/>
    <w:rsid w:val="32C3A70C"/>
    <w:rsid w:val="32DE8A26"/>
    <w:rsid w:val="33028F9C"/>
    <w:rsid w:val="333CF860"/>
    <w:rsid w:val="33A9DDDC"/>
    <w:rsid w:val="33E747C4"/>
    <w:rsid w:val="351074C0"/>
    <w:rsid w:val="35466880"/>
    <w:rsid w:val="3595110D"/>
    <w:rsid w:val="35AFCBE0"/>
    <w:rsid w:val="35F2E941"/>
    <w:rsid w:val="362D2497"/>
    <w:rsid w:val="36C94537"/>
    <w:rsid w:val="36DAABAF"/>
    <w:rsid w:val="37084B84"/>
    <w:rsid w:val="378B918E"/>
    <w:rsid w:val="37CA0C66"/>
    <w:rsid w:val="37CAB352"/>
    <w:rsid w:val="3806FB70"/>
    <w:rsid w:val="388BA528"/>
    <w:rsid w:val="389F008B"/>
    <w:rsid w:val="39D29BA1"/>
    <w:rsid w:val="39EE5518"/>
    <w:rsid w:val="39F8EAF4"/>
    <w:rsid w:val="3AB687F7"/>
    <w:rsid w:val="3AC0F65D"/>
    <w:rsid w:val="3AF5E1BD"/>
    <w:rsid w:val="3CCA8DBC"/>
    <w:rsid w:val="3E186998"/>
    <w:rsid w:val="3E899A9C"/>
    <w:rsid w:val="3ECEC0C5"/>
    <w:rsid w:val="3EE36B3A"/>
    <w:rsid w:val="3EF30E80"/>
    <w:rsid w:val="3F044D8D"/>
    <w:rsid w:val="3F11EF7B"/>
    <w:rsid w:val="3F595867"/>
    <w:rsid w:val="3F5D9DDB"/>
    <w:rsid w:val="3F790C64"/>
    <w:rsid w:val="3F8F9E76"/>
    <w:rsid w:val="401107AD"/>
    <w:rsid w:val="403DA4CC"/>
    <w:rsid w:val="40679929"/>
    <w:rsid w:val="40B6F6A0"/>
    <w:rsid w:val="40BB7A15"/>
    <w:rsid w:val="40C75010"/>
    <w:rsid w:val="40DF33C1"/>
    <w:rsid w:val="40F2B5E0"/>
    <w:rsid w:val="40FC76F2"/>
    <w:rsid w:val="420BB169"/>
    <w:rsid w:val="42C97873"/>
    <w:rsid w:val="42F38761"/>
    <w:rsid w:val="430066F4"/>
    <w:rsid w:val="431C2F0C"/>
    <w:rsid w:val="435C513B"/>
    <w:rsid w:val="438A4756"/>
    <w:rsid w:val="441C1716"/>
    <w:rsid w:val="447A5BBB"/>
    <w:rsid w:val="449A35AB"/>
    <w:rsid w:val="449AE2BA"/>
    <w:rsid w:val="451E6C41"/>
    <w:rsid w:val="482A9428"/>
    <w:rsid w:val="483018A1"/>
    <w:rsid w:val="486AC8EE"/>
    <w:rsid w:val="486F4831"/>
    <w:rsid w:val="48A1C275"/>
    <w:rsid w:val="4900A18A"/>
    <w:rsid w:val="493DDCE3"/>
    <w:rsid w:val="494A6B17"/>
    <w:rsid w:val="49553187"/>
    <w:rsid w:val="4A395FF2"/>
    <w:rsid w:val="4A6B2664"/>
    <w:rsid w:val="4B945187"/>
    <w:rsid w:val="4D3476AC"/>
    <w:rsid w:val="4D68C49C"/>
    <w:rsid w:val="4DE482F0"/>
    <w:rsid w:val="4DEF1A95"/>
    <w:rsid w:val="4E914D61"/>
    <w:rsid w:val="4F39E2F8"/>
    <w:rsid w:val="4FECAF27"/>
    <w:rsid w:val="504B2CEF"/>
    <w:rsid w:val="507E0495"/>
    <w:rsid w:val="508A7A54"/>
    <w:rsid w:val="5188147A"/>
    <w:rsid w:val="519477FA"/>
    <w:rsid w:val="51F83512"/>
    <w:rsid w:val="528EE506"/>
    <w:rsid w:val="52D86793"/>
    <w:rsid w:val="52E42F58"/>
    <w:rsid w:val="52F6240B"/>
    <w:rsid w:val="52FA0B61"/>
    <w:rsid w:val="53B29DE7"/>
    <w:rsid w:val="53E9AA40"/>
    <w:rsid w:val="53EBD510"/>
    <w:rsid w:val="543BC0DB"/>
    <w:rsid w:val="552DCE1A"/>
    <w:rsid w:val="555B4F1A"/>
    <w:rsid w:val="55A7CF59"/>
    <w:rsid w:val="55BA4A8C"/>
    <w:rsid w:val="55C2D5AD"/>
    <w:rsid w:val="568B751E"/>
    <w:rsid w:val="56A2745A"/>
    <w:rsid w:val="56C9AE1A"/>
    <w:rsid w:val="56EE9688"/>
    <w:rsid w:val="56F0B423"/>
    <w:rsid w:val="574F584E"/>
    <w:rsid w:val="579AD902"/>
    <w:rsid w:val="57B15770"/>
    <w:rsid w:val="57C076D8"/>
    <w:rsid w:val="58FF95A3"/>
    <w:rsid w:val="598BF309"/>
    <w:rsid w:val="59DA32CE"/>
    <w:rsid w:val="5A1BAE6E"/>
    <w:rsid w:val="5A85F438"/>
    <w:rsid w:val="5A9CE21A"/>
    <w:rsid w:val="5AA9D0FB"/>
    <w:rsid w:val="5AC2E366"/>
    <w:rsid w:val="5AFEB6A5"/>
    <w:rsid w:val="5B3D505D"/>
    <w:rsid w:val="5C13CE08"/>
    <w:rsid w:val="5CE9EAC6"/>
    <w:rsid w:val="5CFE26A3"/>
    <w:rsid w:val="5DD75C26"/>
    <w:rsid w:val="5EA75527"/>
    <w:rsid w:val="5F0B1A52"/>
    <w:rsid w:val="5F4CD48D"/>
    <w:rsid w:val="5F5CBEEC"/>
    <w:rsid w:val="5FE76C51"/>
    <w:rsid w:val="6039B4F0"/>
    <w:rsid w:val="607AEE61"/>
    <w:rsid w:val="61836099"/>
    <w:rsid w:val="61AE5963"/>
    <w:rsid w:val="621B5B1A"/>
    <w:rsid w:val="62EDA061"/>
    <w:rsid w:val="63453660"/>
    <w:rsid w:val="6385C38D"/>
    <w:rsid w:val="638B76E5"/>
    <w:rsid w:val="6496B18A"/>
    <w:rsid w:val="6507DF68"/>
    <w:rsid w:val="6568DE1A"/>
    <w:rsid w:val="664C87B7"/>
    <w:rsid w:val="6706BB39"/>
    <w:rsid w:val="676C2052"/>
    <w:rsid w:val="6779F01D"/>
    <w:rsid w:val="67D6F4BC"/>
    <w:rsid w:val="6801D2A3"/>
    <w:rsid w:val="681F141B"/>
    <w:rsid w:val="6835FCC9"/>
    <w:rsid w:val="6878B661"/>
    <w:rsid w:val="68EDAFF8"/>
    <w:rsid w:val="68FF5628"/>
    <w:rsid w:val="693AEA11"/>
    <w:rsid w:val="696D3DB3"/>
    <w:rsid w:val="6983554A"/>
    <w:rsid w:val="69AA16CE"/>
    <w:rsid w:val="6A611D97"/>
    <w:rsid w:val="6A69EF45"/>
    <w:rsid w:val="6A9E776C"/>
    <w:rsid w:val="6B551100"/>
    <w:rsid w:val="6B6F6ECA"/>
    <w:rsid w:val="6B80ABC7"/>
    <w:rsid w:val="6C5E22A9"/>
    <w:rsid w:val="6CB675C8"/>
    <w:rsid w:val="6D94A936"/>
    <w:rsid w:val="6DAD684D"/>
    <w:rsid w:val="6DADD992"/>
    <w:rsid w:val="6DC88E50"/>
    <w:rsid w:val="6E59439B"/>
    <w:rsid w:val="6E59CE4F"/>
    <w:rsid w:val="6E6727D0"/>
    <w:rsid w:val="6E9196FD"/>
    <w:rsid w:val="707BB9C0"/>
    <w:rsid w:val="70E7443C"/>
    <w:rsid w:val="70FBD79C"/>
    <w:rsid w:val="713D378C"/>
    <w:rsid w:val="714C20BB"/>
    <w:rsid w:val="721D7288"/>
    <w:rsid w:val="7301F45D"/>
    <w:rsid w:val="74AED1A6"/>
    <w:rsid w:val="75751B74"/>
    <w:rsid w:val="75A7D58D"/>
    <w:rsid w:val="75C65476"/>
    <w:rsid w:val="75DE703D"/>
    <w:rsid w:val="775633E7"/>
    <w:rsid w:val="778C761E"/>
    <w:rsid w:val="7819E251"/>
    <w:rsid w:val="78CCD845"/>
    <w:rsid w:val="78CD9965"/>
    <w:rsid w:val="78ED3271"/>
    <w:rsid w:val="78FB6470"/>
    <w:rsid w:val="79B644EF"/>
    <w:rsid w:val="79C30919"/>
    <w:rsid w:val="7A350EB2"/>
    <w:rsid w:val="7AC0CC61"/>
    <w:rsid w:val="7B230495"/>
    <w:rsid w:val="7B274F1A"/>
    <w:rsid w:val="7B27B98B"/>
    <w:rsid w:val="7BA8E8CB"/>
    <w:rsid w:val="7BB4D5F2"/>
    <w:rsid w:val="7C6C33B2"/>
    <w:rsid w:val="7CC995BE"/>
    <w:rsid w:val="7E086637"/>
    <w:rsid w:val="7E60B4EF"/>
    <w:rsid w:val="7EAF0200"/>
    <w:rsid w:val="7EB23AA5"/>
    <w:rsid w:val="7FDA1729"/>
    <w:rsid w:val="7FFE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64EF8"/>
  <w15:chartTrackingRefBased/>
  <w15:docId w15:val="{4435B2F2-79DD-44BC-B0F8-40F9CE0F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18971E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0A3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18971E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4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DE38046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uiPriority w:val="99"/>
    <w:unhideWhenUsed/>
    <w:rsid w:val="6E9196F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E9196FD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E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EC4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9D43D0"/>
    <w:rPr>
      <w:rFonts w:eastAsiaTheme="majorEastAsia" w:cstheme="majorBidi"/>
      <w:i/>
      <w:iCs/>
      <w:color w:val="0F4761" w:themeColor="accent1" w:themeShade="BF"/>
    </w:rPr>
  </w:style>
  <w:style w:type="character" w:styleId="Hyperlink">
    <w:name w:val="Hyperlink"/>
    <w:basedOn w:val="DefaultParagraphFont"/>
    <w:uiPriority w:val="99"/>
    <w:unhideWhenUsed/>
    <w:rsid w:val="009D43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QuickStyle" Target="diagrams/quickStyle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diagramLayout" Target="diagrams/layout1.xml"/><Relationship Id="rId17" Type="http://schemas.microsoft.com/office/2011/relationships/commentsExtended" Target="commentsExtended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omments" Target="comments.xml"/><Relationship Id="rId20" Type="http://schemas.openxmlformats.org/officeDocument/2006/relationships/hyperlink" Target="https://www.lndl.org/about/directions-parking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Data" Target="diagrams/data1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microsoft.com/office/2007/relationships/diagramDrawing" Target="diagrams/drawing1.xml"/><Relationship Id="rId23" Type="http://schemas.openxmlformats.org/officeDocument/2006/relationships/fontTable" Target="fontTable.xml"/><Relationship Id="rId10" Type="http://schemas.openxmlformats.org/officeDocument/2006/relationships/hyperlink" Target="mailto:library-events@loyola.edu" TargetMode="External"/><Relationship Id="rId19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Colors" Target="diagrams/colors1.xml"/><Relationship Id="rId22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81001B-28D4-4D47-953D-0A91BE9524A6}" type="doc">
      <dgm:prSet loTypeId="urn:microsoft.com/office/officeart/2005/8/layout/b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F4030C71-BDF9-45C3-878B-6C349B134620}">
      <dgm:prSet phldrT="[Text]"/>
      <dgm:spPr>
        <a:solidFill>
          <a:schemeClr val="tx2">
            <a:lumMod val="10000"/>
            <a:lumOff val="90000"/>
          </a:schemeClr>
        </a:solidFill>
      </dgm:spPr>
      <dgm:t>
        <a:bodyPr/>
        <a:lstStyle/>
        <a:p>
          <a:r>
            <a:rPr lang="en-US">
              <a:solidFill>
                <a:srgbClr val="000000"/>
              </a:solidFill>
            </a:rPr>
            <a:t>Event organizers contact LNDL staff via </a:t>
          </a:r>
        </a:p>
        <a:p>
          <a:r>
            <a:rPr lang="en-US" i="1" dirty="0">
              <a:solidFill>
                <a:srgbClr val="000000"/>
              </a:solidFill>
            </a:rPr>
            <a:t>library-events@loyola.edu</a:t>
          </a:r>
          <a:r>
            <a:rPr lang="en-US" i="1" dirty="0">
              <a:latin typeface="Aptos Display"/>
            </a:rPr>
            <a:t>.</a:t>
          </a:r>
          <a:endParaRPr lang="en-US" dirty="0">
            <a:latin typeface="+mn-lt"/>
          </a:endParaRPr>
        </a:p>
      </dgm:t>
    </dgm:pt>
    <dgm:pt modelId="{525D91CE-AC48-4413-9A40-A501F041C873}" type="parTrans" cxnId="{1E901859-B6DD-4AE3-A72F-BAE6DD2FB00F}">
      <dgm:prSet/>
      <dgm:spPr/>
      <dgm:t>
        <a:bodyPr/>
        <a:lstStyle/>
        <a:p>
          <a:endParaRPr lang="en-US">
            <a:latin typeface="+mn-lt"/>
          </a:endParaRPr>
        </a:p>
      </dgm:t>
    </dgm:pt>
    <dgm:pt modelId="{28892C89-311D-460E-99CD-5E3F30858326}" type="sibTrans" cxnId="{1E901859-B6DD-4AE3-A72F-BAE6DD2FB00F}">
      <dgm:prSet/>
      <dgm:spPr>
        <a:ln w="38100"/>
      </dgm:spPr>
      <dgm:t>
        <a:bodyPr/>
        <a:lstStyle/>
        <a:p>
          <a:endParaRPr lang="en-US">
            <a:latin typeface="+mn-lt"/>
          </a:endParaRPr>
        </a:p>
      </dgm:t>
    </dgm:pt>
    <dgm:pt modelId="{FB78DF4F-1685-416E-8DE1-4906D0043904}">
      <dgm:prSet phldrT="[Text]"/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r>
            <a:rPr lang="en-US" b="1">
              <a:solidFill>
                <a:srgbClr val="000000"/>
              </a:solidFill>
            </a:rPr>
            <a:t>(within 5 business days of request)</a:t>
          </a:r>
        </a:p>
        <a:p>
          <a:r>
            <a:rPr lang="en-US">
              <a:solidFill>
                <a:srgbClr val="000000"/>
              </a:solidFill>
            </a:rPr>
            <a:t>LNDL staff shares </a:t>
          </a:r>
          <a:r>
            <a:rPr lang="en-US" b="1">
              <a:solidFill>
                <a:srgbClr val="000000"/>
              </a:solidFill>
            </a:rPr>
            <a:t>Community Event Form</a:t>
          </a:r>
          <a:r>
            <a:rPr lang="en-US">
              <a:solidFill>
                <a:srgbClr val="000000"/>
              </a:solidFill>
            </a:rPr>
            <a:t>; form receipt shared with event organizer and LNDL contacts</a:t>
          </a:r>
          <a:r>
            <a:rPr lang="en-US">
              <a:latin typeface="Aptos Display"/>
            </a:rPr>
            <a:t>.</a:t>
          </a:r>
          <a:endParaRPr lang="en-US">
            <a:latin typeface="+mn-lt"/>
          </a:endParaRPr>
        </a:p>
      </dgm:t>
    </dgm:pt>
    <dgm:pt modelId="{49591B46-7DBF-4922-944D-F0A966EDFAF5}" type="parTrans" cxnId="{8CFC3D67-EED0-426E-8077-AD9FBBAD2BBC}">
      <dgm:prSet/>
      <dgm:spPr/>
      <dgm:t>
        <a:bodyPr/>
        <a:lstStyle/>
        <a:p>
          <a:endParaRPr lang="en-US">
            <a:latin typeface="+mn-lt"/>
          </a:endParaRPr>
        </a:p>
      </dgm:t>
    </dgm:pt>
    <dgm:pt modelId="{6DE0BFC4-94E2-4C2B-8124-9629C6F9FEEC}" type="sibTrans" cxnId="{8CFC3D67-EED0-426E-8077-AD9FBBAD2BBC}">
      <dgm:prSet/>
      <dgm:spPr>
        <a:ln w="38100">
          <a:solidFill>
            <a:schemeClr val="tx1"/>
          </a:solidFill>
        </a:ln>
      </dgm:spPr>
      <dgm:t>
        <a:bodyPr/>
        <a:lstStyle/>
        <a:p>
          <a:endParaRPr lang="en-US">
            <a:latin typeface="+mn-lt"/>
          </a:endParaRPr>
        </a:p>
      </dgm:t>
    </dgm:pt>
    <dgm:pt modelId="{F112907C-437E-43E7-A1C4-37ABE369D7C5}">
      <dgm:prSet phldrT="[Text]"/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r>
            <a:rPr lang="en-US" b="1" dirty="0">
              <a:solidFill>
                <a:srgbClr val="000000"/>
              </a:solidFill>
            </a:rPr>
            <a:t>(within 1-2 weeks of request)</a:t>
          </a:r>
        </a:p>
        <a:p>
          <a:r>
            <a:rPr lang="en-US" dirty="0">
              <a:solidFill>
                <a:srgbClr val="000000"/>
              </a:solidFill>
            </a:rPr>
            <a:t>Confirm feasibility based on LNDL's internal rubric for hosting community events.  </a:t>
          </a:r>
          <a:endParaRPr lang="en-US" dirty="0">
            <a:latin typeface="+mn-lt"/>
          </a:endParaRPr>
        </a:p>
      </dgm:t>
    </dgm:pt>
    <dgm:pt modelId="{B5C56306-F4A2-42D3-8C82-74FBFF9E7AF8}" type="parTrans" cxnId="{CCA70BD4-C2E5-40BC-9115-669C19644194}">
      <dgm:prSet/>
      <dgm:spPr/>
      <dgm:t>
        <a:bodyPr/>
        <a:lstStyle/>
        <a:p>
          <a:endParaRPr lang="en-US">
            <a:latin typeface="+mn-lt"/>
          </a:endParaRPr>
        </a:p>
      </dgm:t>
    </dgm:pt>
    <dgm:pt modelId="{70978325-1955-4B92-95F5-5967F1E42D41}" type="sibTrans" cxnId="{CCA70BD4-C2E5-40BC-9115-669C19644194}">
      <dgm:prSet/>
      <dgm:spPr>
        <a:ln w="38100">
          <a:solidFill>
            <a:schemeClr val="tx1"/>
          </a:solidFill>
        </a:ln>
      </dgm:spPr>
      <dgm:t>
        <a:bodyPr/>
        <a:lstStyle/>
        <a:p>
          <a:endParaRPr lang="en-US">
            <a:latin typeface="+mn-lt"/>
          </a:endParaRPr>
        </a:p>
      </dgm:t>
    </dgm:pt>
    <dgm:pt modelId="{860B1EF8-D870-41FA-B44E-ABC28E3014D1}">
      <dgm:prSet phldrT="[Text]"/>
      <dgm:spPr>
        <a:solidFill>
          <a:schemeClr val="tx2">
            <a:lumMod val="10000"/>
            <a:lumOff val="90000"/>
          </a:schemeClr>
        </a:solidFill>
      </dgm:spPr>
      <dgm:t>
        <a:bodyPr/>
        <a:lstStyle/>
        <a:p>
          <a:r>
            <a:rPr lang="en-US" b="1">
              <a:solidFill>
                <a:srgbClr val="000000"/>
              </a:solidFill>
            </a:rPr>
            <a:t>(1-2 weeks ahead of event)</a:t>
          </a:r>
        </a:p>
        <a:p>
          <a:pPr rtl="0"/>
          <a:r>
            <a:rPr lang="en-US">
              <a:solidFill>
                <a:srgbClr val="000000"/>
              </a:solidFill>
            </a:rPr>
            <a:t>Reaffirm event support needs and LNDL policy, confirm catering, and schedule </a:t>
          </a:r>
          <a:r>
            <a:rPr lang="en-US">
              <a:solidFill>
                <a:srgbClr val="000000"/>
              </a:solidFill>
              <a:latin typeface="Aptos Display" panose="02110004020202020204"/>
            </a:rPr>
            <a:t>space walkthrough</a:t>
          </a:r>
          <a:r>
            <a:rPr lang="en-US">
              <a:solidFill>
                <a:srgbClr val="000000"/>
              </a:solidFill>
            </a:rPr>
            <a:t> (if necessa</a:t>
          </a:r>
          <a:r>
            <a:rPr lang="en-US">
              <a:solidFill>
                <a:schemeClr val="tx1"/>
              </a:solidFill>
            </a:rPr>
            <a:t>ry</a:t>
          </a:r>
          <a:r>
            <a:rPr lang="en-US">
              <a:solidFill>
                <a:schemeClr val="tx1"/>
              </a:solidFill>
              <a:latin typeface="Aptos Display"/>
            </a:rPr>
            <a:t>).</a:t>
          </a:r>
        </a:p>
      </dgm:t>
    </dgm:pt>
    <dgm:pt modelId="{1143A34C-1D7A-447A-8154-9DC8B664F85E}" type="parTrans" cxnId="{6FD2E7A2-F2AE-4756-AB5B-0B122281B3D6}">
      <dgm:prSet/>
      <dgm:spPr/>
      <dgm:t>
        <a:bodyPr/>
        <a:lstStyle/>
        <a:p>
          <a:endParaRPr lang="en-US">
            <a:latin typeface="+mn-lt"/>
          </a:endParaRPr>
        </a:p>
      </dgm:t>
    </dgm:pt>
    <dgm:pt modelId="{52974AAC-D3F0-4C6E-8DA4-C0C98D373F8A}" type="sibTrans" cxnId="{6FD2E7A2-F2AE-4756-AB5B-0B122281B3D6}">
      <dgm:prSet/>
      <dgm:spPr/>
      <dgm:t>
        <a:bodyPr/>
        <a:lstStyle/>
        <a:p>
          <a:endParaRPr lang="en-US">
            <a:latin typeface="+mn-lt"/>
          </a:endParaRPr>
        </a:p>
      </dgm:t>
    </dgm:pt>
    <dgm:pt modelId="{E3C10140-19DF-4F4D-98EB-2E9E71DBFF57}" type="pres">
      <dgm:prSet presAssocID="{4C81001B-28D4-4D47-953D-0A91BE9524A6}" presName="Name0" presStyleCnt="0">
        <dgm:presLayoutVars>
          <dgm:dir/>
          <dgm:resizeHandles val="exact"/>
        </dgm:presLayoutVars>
      </dgm:prSet>
      <dgm:spPr/>
    </dgm:pt>
    <dgm:pt modelId="{91040C49-E3B2-44D5-9A78-BB6A5B632004}" type="pres">
      <dgm:prSet presAssocID="{F4030C71-BDF9-45C3-878B-6C349B134620}" presName="node" presStyleLbl="node1" presStyleIdx="0" presStyleCnt="4">
        <dgm:presLayoutVars>
          <dgm:bulletEnabled val="1"/>
        </dgm:presLayoutVars>
      </dgm:prSet>
      <dgm:spPr/>
    </dgm:pt>
    <dgm:pt modelId="{809FE174-F08F-4FF5-88D7-10A807533EFC}" type="pres">
      <dgm:prSet presAssocID="{28892C89-311D-460E-99CD-5E3F30858326}" presName="sibTrans" presStyleLbl="sibTrans1D1" presStyleIdx="0" presStyleCnt="3"/>
      <dgm:spPr/>
    </dgm:pt>
    <dgm:pt modelId="{A251C2E3-5312-41DD-BBAF-F3ECDBC5F9AE}" type="pres">
      <dgm:prSet presAssocID="{28892C89-311D-460E-99CD-5E3F30858326}" presName="connectorText" presStyleLbl="sibTrans1D1" presStyleIdx="0" presStyleCnt="3"/>
      <dgm:spPr/>
    </dgm:pt>
    <dgm:pt modelId="{E261B250-4A75-42F2-A5E1-1786102B4C3C}" type="pres">
      <dgm:prSet presAssocID="{FB78DF4F-1685-416E-8DE1-4906D0043904}" presName="node" presStyleLbl="node1" presStyleIdx="1" presStyleCnt="4">
        <dgm:presLayoutVars>
          <dgm:bulletEnabled val="1"/>
        </dgm:presLayoutVars>
      </dgm:prSet>
      <dgm:spPr/>
    </dgm:pt>
    <dgm:pt modelId="{3E7BF178-2883-406A-AB8A-FBB9841CF616}" type="pres">
      <dgm:prSet presAssocID="{6DE0BFC4-94E2-4C2B-8124-9629C6F9FEEC}" presName="sibTrans" presStyleLbl="sibTrans1D1" presStyleIdx="1" presStyleCnt="3"/>
      <dgm:spPr/>
    </dgm:pt>
    <dgm:pt modelId="{BCDB9901-00A6-4F4D-AC62-D7EE8F5AA48A}" type="pres">
      <dgm:prSet presAssocID="{6DE0BFC4-94E2-4C2B-8124-9629C6F9FEEC}" presName="connectorText" presStyleLbl="sibTrans1D1" presStyleIdx="1" presStyleCnt="3"/>
      <dgm:spPr/>
    </dgm:pt>
    <dgm:pt modelId="{EA867D89-49ED-49DC-8177-EEB7591898F4}" type="pres">
      <dgm:prSet presAssocID="{F112907C-437E-43E7-A1C4-37ABE369D7C5}" presName="node" presStyleLbl="node1" presStyleIdx="2" presStyleCnt="4">
        <dgm:presLayoutVars>
          <dgm:bulletEnabled val="1"/>
        </dgm:presLayoutVars>
      </dgm:prSet>
      <dgm:spPr/>
    </dgm:pt>
    <dgm:pt modelId="{D2C6CB94-7C8D-4E0F-AD98-272DB279CEF1}" type="pres">
      <dgm:prSet presAssocID="{70978325-1955-4B92-95F5-5967F1E42D41}" presName="sibTrans" presStyleLbl="sibTrans1D1" presStyleIdx="2" presStyleCnt="3"/>
      <dgm:spPr/>
    </dgm:pt>
    <dgm:pt modelId="{BCC676E1-E739-4F23-B887-5F2F6901075D}" type="pres">
      <dgm:prSet presAssocID="{70978325-1955-4B92-95F5-5967F1E42D41}" presName="connectorText" presStyleLbl="sibTrans1D1" presStyleIdx="2" presStyleCnt="3"/>
      <dgm:spPr/>
    </dgm:pt>
    <dgm:pt modelId="{986EA908-1AC7-4294-AE61-40E5E7FF7F66}" type="pres">
      <dgm:prSet presAssocID="{860B1EF8-D870-41FA-B44E-ABC28E3014D1}" presName="node" presStyleLbl="node1" presStyleIdx="3" presStyleCnt="4">
        <dgm:presLayoutVars>
          <dgm:bulletEnabled val="1"/>
        </dgm:presLayoutVars>
      </dgm:prSet>
      <dgm:spPr/>
    </dgm:pt>
  </dgm:ptLst>
  <dgm:cxnLst>
    <dgm:cxn modelId="{7437BB17-70C4-4362-A7ED-9F0B44062CD8}" type="presOf" srcId="{70978325-1955-4B92-95F5-5967F1E42D41}" destId="{D2C6CB94-7C8D-4E0F-AD98-272DB279CEF1}" srcOrd="0" destOrd="0" presId="urn:microsoft.com/office/officeart/2005/8/layout/bProcess3"/>
    <dgm:cxn modelId="{79D35421-0ED4-4A5D-9590-A504AED1848B}" type="presOf" srcId="{860B1EF8-D870-41FA-B44E-ABC28E3014D1}" destId="{986EA908-1AC7-4294-AE61-40E5E7FF7F66}" srcOrd="0" destOrd="0" presId="urn:microsoft.com/office/officeart/2005/8/layout/bProcess3"/>
    <dgm:cxn modelId="{93790D22-2EEC-41F2-9A8A-5AF95AEC4603}" type="presOf" srcId="{6DE0BFC4-94E2-4C2B-8124-9629C6F9FEEC}" destId="{BCDB9901-00A6-4F4D-AC62-D7EE8F5AA48A}" srcOrd="1" destOrd="0" presId="urn:microsoft.com/office/officeart/2005/8/layout/bProcess3"/>
    <dgm:cxn modelId="{2D309C26-8F33-4C4A-A59E-9F5AA1BCAF00}" type="presOf" srcId="{28892C89-311D-460E-99CD-5E3F30858326}" destId="{A251C2E3-5312-41DD-BBAF-F3ECDBC5F9AE}" srcOrd="1" destOrd="0" presId="urn:microsoft.com/office/officeart/2005/8/layout/bProcess3"/>
    <dgm:cxn modelId="{09EDA93E-C58F-4DC2-81B0-3FDB49CDF50A}" type="presOf" srcId="{4C81001B-28D4-4D47-953D-0A91BE9524A6}" destId="{E3C10140-19DF-4F4D-98EB-2E9E71DBFF57}" srcOrd="0" destOrd="0" presId="urn:microsoft.com/office/officeart/2005/8/layout/bProcess3"/>
    <dgm:cxn modelId="{8CFC3D67-EED0-426E-8077-AD9FBBAD2BBC}" srcId="{4C81001B-28D4-4D47-953D-0A91BE9524A6}" destId="{FB78DF4F-1685-416E-8DE1-4906D0043904}" srcOrd="1" destOrd="0" parTransId="{49591B46-7DBF-4922-944D-F0A966EDFAF5}" sibTransId="{6DE0BFC4-94E2-4C2B-8124-9629C6F9FEEC}"/>
    <dgm:cxn modelId="{12C39E49-05B8-4EC8-9FEE-EE165969BA33}" type="presOf" srcId="{70978325-1955-4B92-95F5-5967F1E42D41}" destId="{BCC676E1-E739-4F23-B887-5F2F6901075D}" srcOrd="1" destOrd="0" presId="urn:microsoft.com/office/officeart/2005/8/layout/bProcess3"/>
    <dgm:cxn modelId="{25D6C749-CDE3-49BA-9A7C-1C5DBCFBB2A2}" type="presOf" srcId="{FB78DF4F-1685-416E-8DE1-4906D0043904}" destId="{E261B250-4A75-42F2-A5E1-1786102B4C3C}" srcOrd="0" destOrd="0" presId="urn:microsoft.com/office/officeart/2005/8/layout/bProcess3"/>
    <dgm:cxn modelId="{1E901859-B6DD-4AE3-A72F-BAE6DD2FB00F}" srcId="{4C81001B-28D4-4D47-953D-0A91BE9524A6}" destId="{F4030C71-BDF9-45C3-878B-6C349B134620}" srcOrd="0" destOrd="0" parTransId="{525D91CE-AC48-4413-9A40-A501F041C873}" sibTransId="{28892C89-311D-460E-99CD-5E3F30858326}"/>
    <dgm:cxn modelId="{BE3B998D-EE7E-42F5-A6ED-7539B2DAF4BA}" type="presOf" srcId="{28892C89-311D-460E-99CD-5E3F30858326}" destId="{809FE174-F08F-4FF5-88D7-10A807533EFC}" srcOrd="0" destOrd="0" presId="urn:microsoft.com/office/officeart/2005/8/layout/bProcess3"/>
    <dgm:cxn modelId="{6FD2E7A2-F2AE-4756-AB5B-0B122281B3D6}" srcId="{4C81001B-28D4-4D47-953D-0A91BE9524A6}" destId="{860B1EF8-D870-41FA-B44E-ABC28E3014D1}" srcOrd="3" destOrd="0" parTransId="{1143A34C-1D7A-447A-8154-9DC8B664F85E}" sibTransId="{52974AAC-D3F0-4C6E-8DA4-C0C98D373F8A}"/>
    <dgm:cxn modelId="{5D110DCA-2A45-416F-BEFF-BE341EE0539A}" type="presOf" srcId="{6DE0BFC4-94E2-4C2B-8124-9629C6F9FEEC}" destId="{3E7BF178-2883-406A-AB8A-FBB9841CF616}" srcOrd="0" destOrd="0" presId="urn:microsoft.com/office/officeart/2005/8/layout/bProcess3"/>
    <dgm:cxn modelId="{9EB92CD3-84CE-4772-81C3-70796BF31768}" type="presOf" srcId="{F4030C71-BDF9-45C3-878B-6C349B134620}" destId="{91040C49-E3B2-44D5-9A78-BB6A5B632004}" srcOrd="0" destOrd="0" presId="urn:microsoft.com/office/officeart/2005/8/layout/bProcess3"/>
    <dgm:cxn modelId="{CCA70BD4-C2E5-40BC-9115-669C19644194}" srcId="{4C81001B-28D4-4D47-953D-0A91BE9524A6}" destId="{F112907C-437E-43E7-A1C4-37ABE369D7C5}" srcOrd="2" destOrd="0" parTransId="{B5C56306-F4A2-42D3-8C82-74FBFF9E7AF8}" sibTransId="{70978325-1955-4B92-95F5-5967F1E42D41}"/>
    <dgm:cxn modelId="{DDE7FAEA-A286-401F-915F-7ED7D7867653}" type="presOf" srcId="{F112907C-437E-43E7-A1C4-37ABE369D7C5}" destId="{EA867D89-49ED-49DC-8177-EEB7591898F4}" srcOrd="0" destOrd="0" presId="urn:microsoft.com/office/officeart/2005/8/layout/bProcess3"/>
    <dgm:cxn modelId="{9B1FFAE3-9E42-4AFE-98F9-60A81C6834C6}" type="presParOf" srcId="{E3C10140-19DF-4F4D-98EB-2E9E71DBFF57}" destId="{91040C49-E3B2-44D5-9A78-BB6A5B632004}" srcOrd="0" destOrd="0" presId="urn:microsoft.com/office/officeart/2005/8/layout/bProcess3"/>
    <dgm:cxn modelId="{2BE6018D-1288-458B-9748-73C6AD7E788A}" type="presParOf" srcId="{E3C10140-19DF-4F4D-98EB-2E9E71DBFF57}" destId="{809FE174-F08F-4FF5-88D7-10A807533EFC}" srcOrd="1" destOrd="0" presId="urn:microsoft.com/office/officeart/2005/8/layout/bProcess3"/>
    <dgm:cxn modelId="{F6BFF926-C991-4D92-83EC-EE39DFCEB1F0}" type="presParOf" srcId="{809FE174-F08F-4FF5-88D7-10A807533EFC}" destId="{A251C2E3-5312-41DD-BBAF-F3ECDBC5F9AE}" srcOrd="0" destOrd="0" presId="urn:microsoft.com/office/officeart/2005/8/layout/bProcess3"/>
    <dgm:cxn modelId="{6928CDBE-8D5F-419D-97D0-72CE0457D445}" type="presParOf" srcId="{E3C10140-19DF-4F4D-98EB-2E9E71DBFF57}" destId="{E261B250-4A75-42F2-A5E1-1786102B4C3C}" srcOrd="2" destOrd="0" presId="urn:microsoft.com/office/officeart/2005/8/layout/bProcess3"/>
    <dgm:cxn modelId="{4501A660-FA46-4E53-A663-6AF59886C46F}" type="presParOf" srcId="{E3C10140-19DF-4F4D-98EB-2E9E71DBFF57}" destId="{3E7BF178-2883-406A-AB8A-FBB9841CF616}" srcOrd="3" destOrd="0" presId="urn:microsoft.com/office/officeart/2005/8/layout/bProcess3"/>
    <dgm:cxn modelId="{1113CD5C-130C-4F0F-B54B-15079E95A9DE}" type="presParOf" srcId="{3E7BF178-2883-406A-AB8A-FBB9841CF616}" destId="{BCDB9901-00A6-4F4D-AC62-D7EE8F5AA48A}" srcOrd="0" destOrd="0" presId="urn:microsoft.com/office/officeart/2005/8/layout/bProcess3"/>
    <dgm:cxn modelId="{5176F709-FB26-45F5-BB72-F1B031A4C4A6}" type="presParOf" srcId="{E3C10140-19DF-4F4D-98EB-2E9E71DBFF57}" destId="{EA867D89-49ED-49DC-8177-EEB7591898F4}" srcOrd="4" destOrd="0" presId="urn:microsoft.com/office/officeart/2005/8/layout/bProcess3"/>
    <dgm:cxn modelId="{BFE827A1-2917-42D3-8407-B979CD1F4A33}" type="presParOf" srcId="{E3C10140-19DF-4F4D-98EB-2E9E71DBFF57}" destId="{D2C6CB94-7C8D-4E0F-AD98-272DB279CEF1}" srcOrd="5" destOrd="0" presId="urn:microsoft.com/office/officeart/2005/8/layout/bProcess3"/>
    <dgm:cxn modelId="{7C786B07-BA5E-40C7-8080-7900D90A549A}" type="presParOf" srcId="{D2C6CB94-7C8D-4E0F-AD98-272DB279CEF1}" destId="{BCC676E1-E739-4F23-B887-5F2F6901075D}" srcOrd="0" destOrd="0" presId="urn:microsoft.com/office/officeart/2005/8/layout/bProcess3"/>
    <dgm:cxn modelId="{7618DDC7-A125-4424-847F-ED94C0502B3F}" type="presParOf" srcId="{E3C10140-19DF-4F4D-98EB-2E9E71DBFF57}" destId="{986EA908-1AC7-4294-AE61-40E5E7FF7F66}" srcOrd="6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09FE174-F08F-4FF5-88D7-10A807533EFC}">
      <dsp:nvSpPr>
        <dsp:cNvPr id="0" name=""/>
        <dsp:cNvSpPr/>
      </dsp:nvSpPr>
      <dsp:spPr>
        <a:xfrm>
          <a:off x="2985890" y="560967"/>
          <a:ext cx="43291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32919" y="45720"/>
              </a:lnTo>
            </a:path>
          </a:pathLst>
        </a:custGeom>
        <a:noFill/>
        <a:ln w="38100" cap="flat" cmpd="sng" algn="ctr">
          <a:solidFill>
            <a:scrgbClr r="0" g="0" b="0"/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latin typeface="+mn-lt"/>
          </a:endParaRPr>
        </a:p>
      </dsp:txBody>
      <dsp:txXfrm>
        <a:off x="3190762" y="604370"/>
        <a:ext cx="23175" cy="4635"/>
      </dsp:txXfrm>
    </dsp:sp>
    <dsp:sp modelId="{91040C49-E3B2-44D5-9A78-BB6A5B632004}">
      <dsp:nvSpPr>
        <dsp:cNvPr id="0" name=""/>
        <dsp:cNvSpPr/>
      </dsp:nvSpPr>
      <dsp:spPr>
        <a:xfrm>
          <a:off x="972390" y="2097"/>
          <a:ext cx="2015300" cy="1209180"/>
        </a:xfrm>
        <a:prstGeom prst="rect">
          <a:avLst/>
        </a:prstGeom>
        <a:solidFill>
          <a:schemeClr val="tx2">
            <a:lumMod val="10000"/>
            <a:lumOff val="9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000000"/>
              </a:solidFill>
            </a:rPr>
            <a:t>Event organizers contact LNDL staff via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kern="1200" dirty="0">
              <a:solidFill>
                <a:srgbClr val="000000"/>
              </a:solidFill>
            </a:rPr>
            <a:t>library-events@loyola.edu</a:t>
          </a:r>
          <a:r>
            <a:rPr lang="en-US" sz="1100" i="1" kern="1200" dirty="0">
              <a:latin typeface="Aptos Display"/>
            </a:rPr>
            <a:t>.</a:t>
          </a:r>
          <a:endParaRPr lang="en-US" sz="1100" kern="1200" dirty="0">
            <a:latin typeface="+mn-lt"/>
          </a:endParaRPr>
        </a:p>
      </dsp:txBody>
      <dsp:txXfrm>
        <a:off x="972390" y="2097"/>
        <a:ext cx="2015300" cy="1209180"/>
      </dsp:txXfrm>
    </dsp:sp>
    <dsp:sp modelId="{3E7BF178-2883-406A-AB8A-FBB9841CF616}">
      <dsp:nvSpPr>
        <dsp:cNvPr id="0" name=""/>
        <dsp:cNvSpPr/>
      </dsp:nvSpPr>
      <dsp:spPr>
        <a:xfrm>
          <a:off x="1980040" y="1209477"/>
          <a:ext cx="2478819" cy="432919"/>
        </a:xfrm>
        <a:custGeom>
          <a:avLst/>
          <a:gdLst/>
          <a:ahLst/>
          <a:cxnLst/>
          <a:rect l="0" t="0" r="0" b="0"/>
          <a:pathLst>
            <a:path>
              <a:moveTo>
                <a:pt x="2478819" y="0"/>
              </a:moveTo>
              <a:lnTo>
                <a:pt x="2478819" y="233559"/>
              </a:lnTo>
              <a:lnTo>
                <a:pt x="0" y="233559"/>
              </a:lnTo>
              <a:lnTo>
                <a:pt x="0" y="432919"/>
              </a:lnTo>
            </a:path>
          </a:pathLst>
        </a:custGeom>
        <a:noFill/>
        <a:ln w="38100" cap="flat" cmpd="sng" algn="ctr">
          <a:solidFill>
            <a:schemeClr val="tx1"/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latin typeface="+mn-lt"/>
          </a:endParaRPr>
        </a:p>
      </dsp:txBody>
      <dsp:txXfrm>
        <a:off x="3156405" y="1423619"/>
        <a:ext cx="126089" cy="4635"/>
      </dsp:txXfrm>
    </dsp:sp>
    <dsp:sp modelId="{E261B250-4A75-42F2-A5E1-1786102B4C3C}">
      <dsp:nvSpPr>
        <dsp:cNvPr id="0" name=""/>
        <dsp:cNvSpPr/>
      </dsp:nvSpPr>
      <dsp:spPr>
        <a:xfrm>
          <a:off x="3451209" y="2097"/>
          <a:ext cx="2015300" cy="1209180"/>
        </a:xfrm>
        <a:prstGeom prst="rect">
          <a:avLst/>
        </a:prstGeom>
        <a:solidFill>
          <a:schemeClr val="accent6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solidFill>
                <a:srgbClr val="000000"/>
              </a:solidFill>
            </a:rPr>
            <a:t>(within 5 business days of request)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000000"/>
              </a:solidFill>
            </a:rPr>
            <a:t>LNDL staff shares </a:t>
          </a:r>
          <a:r>
            <a:rPr lang="en-US" sz="1100" b="1" kern="1200">
              <a:solidFill>
                <a:srgbClr val="000000"/>
              </a:solidFill>
            </a:rPr>
            <a:t>Community Event Form</a:t>
          </a:r>
          <a:r>
            <a:rPr lang="en-US" sz="1100" kern="1200">
              <a:solidFill>
                <a:srgbClr val="000000"/>
              </a:solidFill>
            </a:rPr>
            <a:t>; form receipt shared with event organizer and LNDL contacts</a:t>
          </a:r>
          <a:r>
            <a:rPr lang="en-US" sz="1100" kern="1200">
              <a:latin typeface="Aptos Display"/>
            </a:rPr>
            <a:t>.</a:t>
          </a:r>
          <a:endParaRPr lang="en-US" sz="1100" kern="1200">
            <a:latin typeface="+mn-lt"/>
          </a:endParaRPr>
        </a:p>
      </dsp:txBody>
      <dsp:txXfrm>
        <a:off x="3451209" y="2097"/>
        <a:ext cx="2015300" cy="1209180"/>
      </dsp:txXfrm>
    </dsp:sp>
    <dsp:sp modelId="{D2C6CB94-7C8D-4E0F-AD98-272DB279CEF1}">
      <dsp:nvSpPr>
        <dsp:cNvPr id="0" name=""/>
        <dsp:cNvSpPr/>
      </dsp:nvSpPr>
      <dsp:spPr>
        <a:xfrm>
          <a:off x="2985890" y="2233667"/>
          <a:ext cx="43291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32919" y="45720"/>
              </a:lnTo>
            </a:path>
          </a:pathLst>
        </a:custGeom>
        <a:noFill/>
        <a:ln w="38100" cap="flat" cmpd="sng" algn="ctr">
          <a:solidFill>
            <a:schemeClr val="tx1"/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latin typeface="+mn-lt"/>
          </a:endParaRPr>
        </a:p>
      </dsp:txBody>
      <dsp:txXfrm>
        <a:off x="3190762" y="2277069"/>
        <a:ext cx="23175" cy="4635"/>
      </dsp:txXfrm>
    </dsp:sp>
    <dsp:sp modelId="{EA867D89-49ED-49DC-8177-EEB7591898F4}">
      <dsp:nvSpPr>
        <dsp:cNvPr id="0" name=""/>
        <dsp:cNvSpPr/>
      </dsp:nvSpPr>
      <dsp:spPr>
        <a:xfrm>
          <a:off x="972390" y="1674797"/>
          <a:ext cx="2015300" cy="1209180"/>
        </a:xfrm>
        <a:prstGeom prst="rect">
          <a:avLst/>
        </a:prstGeom>
        <a:solidFill>
          <a:schemeClr val="accent6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 dirty="0">
              <a:solidFill>
                <a:srgbClr val="000000"/>
              </a:solidFill>
            </a:rPr>
            <a:t>(within 1-2 weeks of request)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 dirty="0">
              <a:solidFill>
                <a:srgbClr val="000000"/>
              </a:solidFill>
            </a:rPr>
            <a:t>Confirm feasibility based on LNDL's internal rubric for hosting community events.  </a:t>
          </a:r>
          <a:endParaRPr lang="en-US" sz="1100" kern="1200" dirty="0">
            <a:latin typeface="+mn-lt"/>
          </a:endParaRPr>
        </a:p>
      </dsp:txBody>
      <dsp:txXfrm>
        <a:off x="972390" y="1674797"/>
        <a:ext cx="2015300" cy="1209180"/>
      </dsp:txXfrm>
    </dsp:sp>
    <dsp:sp modelId="{986EA908-1AC7-4294-AE61-40E5E7FF7F66}">
      <dsp:nvSpPr>
        <dsp:cNvPr id="0" name=""/>
        <dsp:cNvSpPr/>
      </dsp:nvSpPr>
      <dsp:spPr>
        <a:xfrm>
          <a:off x="3451209" y="1674797"/>
          <a:ext cx="2015300" cy="1209180"/>
        </a:xfrm>
        <a:prstGeom prst="rect">
          <a:avLst/>
        </a:prstGeom>
        <a:solidFill>
          <a:schemeClr val="tx2">
            <a:lumMod val="10000"/>
            <a:lumOff val="9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solidFill>
                <a:srgbClr val="000000"/>
              </a:solidFill>
            </a:rPr>
            <a:t>(1-2 weeks ahead of event)</a:t>
          </a: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000000"/>
              </a:solidFill>
            </a:rPr>
            <a:t>Reaffirm event support needs and LNDL policy, confirm catering, and schedule </a:t>
          </a:r>
          <a:r>
            <a:rPr lang="en-US" sz="1100" kern="1200">
              <a:solidFill>
                <a:srgbClr val="000000"/>
              </a:solidFill>
              <a:latin typeface="Aptos Display" panose="02110004020202020204"/>
            </a:rPr>
            <a:t>space walkthrough</a:t>
          </a:r>
          <a:r>
            <a:rPr lang="en-US" sz="1100" kern="1200">
              <a:solidFill>
                <a:srgbClr val="000000"/>
              </a:solidFill>
            </a:rPr>
            <a:t> (if necessa</a:t>
          </a:r>
          <a:r>
            <a:rPr lang="en-US" sz="1100" kern="1200">
              <a:solidFill>
                <a:schemeClr val="tx1"/>
              </a:solidFill>
            </a:rPr>
            <a:t>ry</a:t>
          </a:r>
          <a:r>
            <a:rPr lang="en-US" sz="1100" kern="1200">
              <a:solidFill>
                <a:schemeClr val="tx1"/>
              </a:solidFill>
              <a:latin typeface="Aptos Display"/>
            </a:rPr>
            <a:t>).</a:t>
          </a:r>
        </a:p>
      </dsp:txBody>
      <dsp:txXfrm>
        <a:off x="3451209" y="1674797"/>
        <a:ext cx="2015300" cy="12091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EC49FB6476C0408F2B4EA7C94D3E53" ma:contentTypeVersion="20" ma:contentTypeDescription="Create a new document." ma:contentTypeScope="" ma:versionID="33f6ac7af621275b25213c77ed05544e">
  <xsd:schema xmlns:xsd="http://www.w3.org/2001/XMLSchema" xmlns:xs="http://www.w3.org/2001/XMLSchema" xmlns:p="http://schemas.microsoft.com/office/2006/metadata/properties" xmlns:ns2="03c10bdb-cd4a-4cf2-8e1b-88aa41a306fc" xmlns:ns3="2c2880b0-6159-46db-9797-639254ea89d1" targetNamespace="http://schemas.microsoft.com/office/2006/metadata/properties" ma:root="true" ma:fieldsID="dfc12009a3b0b7cf622418a4707ebea2" ns2:_="" ns3:_="">
    <xsd:import namespace="03c10bdb-cd4a-4cf2-8e1b-88aa41a306fc"/>
    <xsd:import namespace="2c2880b0-6159-46db-9797-639254ea89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onth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10bdb-cd4a-4cf2-8e1b-88aa41a30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570c208-9045-4890-9406-2594c6b9c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onth" ma:index="26" nillable="true" ma:displayName="Month" ma:format="Dropdown" ma:internalName="Month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880b0-6159-46db-9797-639254ea89d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d4c433-ed89-46dc-9786-c203c91a6b0e}" ma:internalName="TaxCatchAll" ma:showField="CatchAllData" ma:web="2c2880b0-6159-46db-9797-639254ea89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2880b0-6159-46db-9797-639254ea89d1" xsi:nil="true"/>
    <lcf76f155ced4ddcb4097134ff3c332f xmlns="03c10bdb-cd4a-4cf2-8e1b-88aa41a306fc">
      <Terms xmlns="http://schemas.microsoft.com/office/infopath/2007/PartnerControls"/>
    </lcf76f155ced4ddcb4097134ff3c332f>
    <Month xmlns="03c10bdb-cd4a-4cf2-8e1b-88aa41a306f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EAF1F3-4CF0-4B42-B2A0-1F7D8CD26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c10bdb-cd4a-4cf2-8e1b-88aa41a306fc"/>
    <ds:schemaRef ds:uri="2c2880b0-6159-46db-9797-639254ea89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B835D5-4573-4553-B571-9D34C5BE34A1}">
  <ds:schemaRefs>
    <ds:schemaRef ds:uri="http://schemas.microsoft.com/office/2006/metadata/properties"/>
    <ds:schemaRef ds:uri="http://schemas.microsoft.com/office/infopath/2007/PartnerControls"/>
    <ds:schemaRef ds:uri="2c2880b0-6159-46db-9797-639254ea89d1"/>
    <ds:schemaRef ds:uri="03c10bdb-cd4a-4cf2-8e1b-88aa41a306fc"/>
  </ds:schemaRefs>
</ds:datastoreItem>
</file>

<file path=customXml/itemProps3.xml><?xml version="1.0" encoding="utf-8"?>
<ds:datastoreItem xmlns:ds="http://schemas.openxmlformats.org/officeDocument/2006/customXml" ds:itemID="{F498A7F5-FB6D-4374-A07D-BC19659B1B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LNDL External Event Policy</dc:title>
  <dc:subject/>
  <dc:creator>Mallory Wareham</dc:creator>
  <cp:keywords/>
  <dc:description/>
  <cp:lastModifiedBy>Youlanda Halterman</cp:lastModifiedBy>
  <cp:revision>46</cp:revision>
  <dcterms:created xsi:type="dcterms:W3CDTF">2026-05-11T18:44:00Z</dcterms:created>
  <dcterms:modified xsi:type="dcterms:W3CDTF">2026-08-22T05:02:00Z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0x010100D2EC49FB6476C0408F2B4EA7C94D3E53</vt:lpwstr>
  </property>
  <property fmtid="{D5CDD505-2E9C-101B-9397-08002B2CF9AE}" pid="3" name="MediaServiceImageTags">
    <vt:lpwstr/>
  </property>
</Properties>
</file>